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6F1FD" w14:textId="77777777" w:rsidR="00EB2783" w:rsidRDefault="00EB2783" w:rsidP="00BE1021">
      <w:pPr>
        <w:spacing w:after="0" w:line="276" w:lineRule="auto"/>
        <w:jc w:val="center"/>
        <w:rPr>
          <w:rFonts w:ascii="Arial" w:hAnsi="Arial" w:cs="Arial"/>
          <w:b/>
        </w:rPr>
      </w:pPr>
    </w:p>
    <w:p w14:paraId="39D397FD" w14:textId="3EF93FF2" w:rsidR="00BE1021" w:rsidRPr="00FE0CCD" w:rsidRDefault="00BE1021" w:rsidP="00BE1021">
      <w:pPr>
        <w:spacing w:after="0" w:line="276" w:lineRule="auto"/>
        <w:jc w:val="center"/>
        <w:rPr>
          <w:rFonts w:ascii="Arial" w:hAnsi="Arial" w:cs="Arial"/>
          <w:b/>
        </w:rPr>
      </w:pPr>
      <w:r w:rsidRPr="00FE0CCD">
        <w:rPr>
          <w:rFonts w:ascii="Arial" w:hAnsi="Arial" w:cs="Arial"/>
          <w:b/>
        </w:rPr>
        <w:t>ARTICLE NO. 6</w:t>
      </w:r>
    </w:p>
    <w:p w14:paraId="6F422505" w14:textId="77777777" w:rsidR="00EB2783" w:rsidRDefault="00B329BA" w:rsidP="00BE1021">
      <w:pPr>
        <w:spacing w:after="0" w:line="276" w:lineRule="auto"/>
        <w:jc w:val="center"/>
        <w:rPr>
          <w:rFonts w:ascii="Arial" w:hAnsi="Arial" w:cs="Arial"/>
          <w:b/>
        </w:rPr>
      </w:pPr>
      <w:r w:rsidRPr="00B329BA">
        <w:rPr>
          <w:rFonts w:ascii="Arial" w:hAnsi="Arial" w:cs="Arial"/>
          <w:b/>
        </w:rPr>
        <w:t xml:space="preserve">RECENT REFORMS AND UPDATES ON PROVINCIAL INVESTMENT </w:t>
      </w:r>
    </w:p>
    <w:p w14:paraId="141CD91A" w14:textId="3A4E7743" w:rsidR="00524398" w:rsidRPr="00FE0CCD" w:rsidRDefault="00B329BA" w:rsidP="00BE1021">
      <w:pPr>
        <w:spacing w:after="0" w:line="276" w:lineRule="auto"/>
        <w:jc w:val="center"/>
        <w:rPr>
          <w:rFonts w:ascii="Arial" w:hAnsi="Arial" w:cs="Arial"/>
          <w:b/>
        </w:rPr>
      </w:pPr>
      <w:r w:rsidRPr="00B329BA">
        <w:rPr>
          <w:rFonts w:ascii="Arial" w:hAnsi="Arial" w:cs="Arial"/>
          <w:b/>
        </w:rPr>
        <w:t>POLICY APPROVAL</w:t>
      </w:r>
    </w:p>
    <w:p w14:paraId="0DB57F70" w14:textId="77777777" w:rsidR="00BE1021" w:rsidRPr="00FE0CCD" w:rsidRDefault="00BE1021" w:rsidP="00BE1021">
      <w:pPr>
        <w:spacing w:after="0" w:line="276" w:lineRule="auto"/>
        <w:jc w:val="center"/>
        <w:rPr>
          <w:rFonts w:ascii="Arial" w:hAnsi="Arial" w:cs="Arial"/>
          <w:b/>
        </w:rPr>
      </w:pPr>
    </w:p>
    <w:p w14:paraId="3CB922BD" w14:textId="3934413E" w:rsidR="001D5051" w:rsidRPr="00FE0CCD" w:rsidRDefault="001D5051" w:rsidP="00BE1021">
      <w:pPr>
        <w:spacing w:after="0" w:line="276" w:lineRule="auto"/>
        <w:jc w:val="both"/>
        <w:rPr>
          <w:rFonts w:ascii="Arial" w:hAnsi="Arial" w:cs="Arial"/>
        </w:rPr>
      </w:pPr>
      <w:r w:rsidRPr="00FE0CCD">
        <w:rPr>
          <w:rFonts w:ascii="Arial" w:hAnsi="Arial" w:cs="Arial"/>
        </w:rPr>
        <w:t>Vietnam's evolving investment legal framework plays a critical role in shaping the country's socio-economic development and attracting both domestic and foreign investors. Central to this framework is the approval of investment policy, a pivotal regulatory milestone that ensures investment projects align with local and national development priorities, land-use planning, environmental protection, and socio-political considerations. </w:t>
      </w:r>
      <w:r w:rsidR="00465906" w:rsidRPr="00FE0CCD">
        <w:rPr>
          <w:rFonts w:ascii="Arial" w:hAnsi="Arial" w:cs="Arial"/>
        </w:rPr>
        <w:t>The Law on Investment 2020</w:t>
      </w:r>
      <w:r w:rsidR="00487AD0" w:rsidRPr="00FE0CCD">
        <w:rPr>
          <w:rFonts w:ascii="Arial" w:hAnsi="Arial" w:cs="Arial"/>
        </w:rPr>
        <w:t xml:space="preserve"> (“</w:t>
      </w:r>
      <w:r w:rsidR="006446BE">
        <w:rPr>
          <w:rFonts w:ascii="Arial" w:hAnsi="Arial" w:cs="Arial"/>
          <w:b/>
          <w:bCs/>
        </w:rPr>
        <w:t>LOI</w:t>
      </w:r>
      <w:r w:rsidR="00487AD0" w:rsidRPr="00FE0CCD">
        <w:rPr>
          <w:rFonts w:ascii="Arial" w:hAnsi="Arial" w:cs="Arial"/>
          <w:b/>
          <w:bCs/>
        </w:rPr>
        <w:t xml:space="preserve"> 20</w:t>
      </w:r>
      <w:r w:rsidR="00487AD0" w:rsidRPr="00FE0CCD">
        <w:rPr>
          <w:rFonts w:ascii="Arial" w:hAnsi="Arial" w:cs="Arial"/>
          <w:b/>
          <w:bCs/>
        </w:rPr>
        <w:t>20”)</w:t>
      </w:r>
      <w:r w:rsidR="00465906" w:rsidRPr="00FE0CCD">
        <w:rPr>
          <w:rFonts w:ascii="Arial" w:hAnsi="Arial" w:cs="Arial"/>
        </w:rPr>
        <w:t>, which supersedes the earlier Law on Investment 2014</w:t>
      </w:r>
      <w:r w:rsidR="00895D78" w:rsidRPr="00FE0CCD">
        <w:rPr>
          <w:rFonts w:ascii="Arial" w:hAnsi="Arial" w:cs="Arial"/>
        </w:rPr>
        <w:t xml:space="preserve"> (</w:t>
      </w:r>
      <w:r w:rsidR="00487AD0" w:rsidRPr="00FE0CCD">
        <w:rPr>
          <w:rFonts w:ascii="Arial" w:hAnsi="Arial" w:cs="Arial"/>
        </w:rPr>
        <w:t>“</w:t>
      </w:r>
      <w:r w:rsidR="006446BE">
        <w:rPr>
          <w:rFonts w:ascii="Arial" w:hAnsi="Arial" w:cs="Arial"/>
          <w:b/>
          <w:bCs/>
        </w:rPr>
        <w:t>LOI</w:t>
      </w:r>
      <w:r w:rsidR="00487AD0" w:rsidRPr="00FE0CCD">
        <w:rPr>
          <w:rFonts w:ascii="Arial" w:hAnsi="Arial" w:cs="Arial"/>
          <w:b/>
          <w:bCs/>
        </w:rPr>
        <w:t xml:space="preserve"> 2014</w:t>
      </w:r>
      <w:r w:rsidR="00487AD0" w:rsidRPr="00FE0CCD">
        <w:rPr>
          <w:rFonts w:ascii="Arial" w:hAnsi="Arial" w:cs="Arial"/>
        </w:rPr>
        <w:t>”)</w:t>
      </w:r>
      <w:r w:rsidR="00465906" w:rsidRPr="00FE0CCD">
        <w:rPr>
          <w:rFonts w:ascii="Arial" w:hAnsi="Arial" w:cs="Arial"/>
        </w:rPr>
        <w:t xml:space="preserve">, introduces significant reforms to this approval process, particularly decentralizing authority to Provincial People’s Committees </w:t>
      </w:r>
      <w:r w:rsidR="00C61F25">
        <w:rPr>
          <w:rFonts w:ascii="Arial" w:hAnsi="Arial" w:cs="Arial"/>
        </w:rPr>
        <w:t>(“</w:t>
      </w:r>
      <w:r w:rsidR="00C61F25" w:rsidRPr="00C61F25">
        <w:rPr>
          <w:rFonts w:ascii="Arial" w:hAnsi="Arial" w:cs="Arial"/>
          <w:b/>
          <w:bCs/>
        </w:rPr>
        <w:t>PPC</w:t>
      </w:r>
      <w:r w:rsidR="00C61F25">
        <w:rPr>
          <w:rFonts w:ascii="Arial" w:hAnsi="Arial" w:cs="Arial"/>
        </w:rPr>
        <w:t xml:space="preserve">”) </w:t>
      </w:r>
      <w:r w:rsidR="00465906" w:rsidRPr="00FE0CCD">
        <w:rPr>
          <w:rFonts w:ascii="Arial" w:hAnsi="Arial" w:cs="Arial"/>
        </w:rPr>
        <w:t>for certain categories of projects. This analysis explores the key differences between the 2014 and 2020 laws, delineates the classes of investment projects subject to provincial approval, and elaborates on the procedural requirements and timelines investors must navigate to obtain such approval under the current legal regime, reflecting Vietnam’s ongoing commitment to transparency, administrative efficiency, and sustainable investment.</w:t>
      </w:r>
    </w:p>
    <w:p w14:paraId="7D84DE8A" w14:textId="77777777" w:rsidR="001D5051" w:rsidRPr="00FE0CCD" w:rsidRDefault="001D5051" w:rsidP="00BE1021">
      <w:pPr>
        <w:spacing w:after="0" w:line="276" w:lineRule="auto"/>
        <w:jc w:val="both"/>
        <w:rPr>
          <w:rFonts w:ascii="Arial" w:hAnsi="Arial" w:cs="Arial"/>
        </w:rPr>
      </w:pPr>
    </w:p>
    <w:p w14:paraId="5C7E8B6A" w14:textId="407F7972" w:rsidR="009C1BB2" w:rsidRPr="00FE0CCD" w:rsidRDefault="009C1BB2" w:rsidP="009C1BB2">
      <w:pPr>
        <w:pStyle w:val="ListParagraph"/>
        <w:numPr>
          <w:ilvl w:val="0"/>
          <w:numId w:val="17"/>
        </w:numPr>
        <w:spacing w:after="0" w:line="276" w:lineRule="auto"/>
        <w:ind w:hanging="720"/>
        <w:jc w:val="both"/>
        <w:rPr>
          <w:rFonts w:ascii="Arial" w:hAnsi="Arial" w:cs="Arial"/>
          <w:b/>
          <w:bCs/>
        </w:rPr>
      </w:pPr>
      <w:r w:rsidRPr="00FE0CCD">
        <w:rPr>
          <w:rFonts w:ascii="Arial" w:hAnsi="Arial" w:cs="Arial"/>
          <w:b/>
          <w:bCs/>
        </w:rPr>
        <w:t xml:space="preserve">Differences </w:t>
      </w:r>
      <w:r w:rsidRPr="00FE0CCD">
        <w:rPr>
          <w:rFonts w:ascii="Arial" w:hAnsi="Arial" w:cs="Arial"/>
          <w:b/>
          <w:bCs/>
        </w:rPr>
        <w:t>b</w:t>
      </w:r>
      <w:r w:rsidRPr="00FE0CCD">
        <w:rPr>
          <w:rFonts w:ascii="Arial" w:hAnsi="Arial" w:cs="Arial"/>
          <w:b/>
          <w:bCs/>
        </w:rPr>
        <w:t xml:space="preserve">etween the Law on Investment 2020 and the Law on Investment 2014 </w:t>
      </w:r>
      <w:r w:rsidRPr="00FE0CCD">
        <w:rPr>
          <w:rFonts w:ascii="Arial" w:hAnsi="Arial" w:cs="Arial"/>
          <w:b/>
          <w:bCs/>
        </w:rPr>
        <w:t>r</w:t>
      </w:r>
      <w:r w:rsidRPr="00FE0CCD">
        <w:rPr>
          <w:rFonts w:ascii="Arial" w:hAnsi="Arial" w:cs="Arial"/>
          <w:b/>
          <w:bCs/>
        </w:rPr>
        <w:t>egarding Approval of Investment Policy</w:t>
      </w:r>
    </w:p>
    <w:p w14:paraId="3B5CD045" w14:textId="77777777" w:rsidR="001D5051" w:rsidRPr="00FE0CCD" w:rsidRDefault="001D5051" w:rsidP="00BE1021">
      <w:pPr>
        <w:spacing w:after="0" w:line="276" w:lineRule="auto"/>
        <w:jc w:val="both"/>
        <w:rPr>
          <w:rFonts w:ascii="Arial" w:hAnsi="Arial" w:cs="Arial"/>
        </w:rPr>
      </w:pPr>
    </w:p>
    <w:p w14:paraId="4F7FE942" w14:textId="14227795" w:rsidR="001D5051" w:rsidRPr="00FE0CCD" w:rsidRDefault="00921039" w:rsidP="00BE1021">
      <w:pPr>
        <w:spacing w:after="0" w:line="276" w:lineRule="auto"/>
        <w:jc w:val="both"/>
        <w:rPr>
          <w:rFonts w:ascii="Arial" w:hAnsi="Arial" w:cs="Arial"/>
        </w:rPr>
      </w:pPr>
      <w:r w:rsidRPr="00FE0CCD">
        <w:rPr>
          <w:rFonts w:ascii="Arial" w:hAnsi="Arial" w:cs="Arial"/>
        </w:rPr>
        <w:t xml:space="preserve">The concept and procedural framework regarding the approval of investment policy has undergone notable refinement in the Investment </w:t>
      </w:r>
      <w:r w:rsidR="009A7DFD" w:rsidRPr="00FE0CCD">
        <w:rPr>
          <w:rFonts w:ascii="Arial" w:hAnsi="Arial" w:cs="Arial"/>
        </w:rPr>
        <w:t xml:space="preserve">Law </w:t>
      </w:r>
      <w:r w:rsidRPr="00FE0CCD">
        <w:rPr>
          <w:rFonts w:ascii="Arial" w:hAnsi="Arial" w:cs="Arial"/>
        </w:rPr>
        <w:t>2020, replacing prior provisions under the Investment</w:t>
      </w:r>
      <w:r w:rsidR="00AC1F03" w:rsidRPr="00FE0CCD">
        <w:rPr>
          <w:rFonts w:ascii="Arial" w:hAnsi="Arial" w:cs="Arial"/>
        </w:rPr>
        <w:t xml:space="preserve"> Law</w:t>
      </w:r>
      <w:r w:rsidRPr="00FE0CCD">
        <w:rPr>
          <w:rFonts w:ascii="Arial" w:hAnsi="Arial" w:cs="Arial"/>
        </w:rPr>
        <w:t xml:space="preserve"> 2014.</w:t>
      </w:r>
    </w:p>
    <w:p w14:paraId="73E79E1A" w14:textId="77777777" w:rsidR="00921039" w:rsidRPr="00FE0CCD" w:rsidRDefault="00921039" w:rsidP="00BE1021">
      <w:pPr>
        <w:spacing w:after="0" w:line="276" w:lineRule="auto"/>
        <w:jc w:val="both"/>
        <w:rPr>
          <w:rFonts w:ascii="Arial" w:hAnsi="Arial" w:cs="Arial"/>
        </w:rPr>
      </w:pPr>
    </w:p>
    <w:p w14:paraId="24B260B8" w14:textId="3465BB26" w:rsidR="000D5FB1" w:rsidRPr="00FE0CCD" w:rsidRDefault="006446BE" w:rsidP="00024669">
      <w:pPr>
        <w:spacing w:after="0" w:line="276" w:lineRule="auto"/>
        <w:jc w:val="both"/>
        <w:rPr>
          <w:rFonts w:ascii="Arial" w:hAnsi="Arial" w:cs="Arial"/>
        </w:rPr>
      </w:pPr>
      <w:r w:rsidRPr="006446BE">
        <w:rPr>
          <w:rFonts w:ascii="Arial" w:hAnsi="Arial" w:cs="Arial"/>
        </w:rPr>
        <w:t xml:space="preserve">The </w:t>
      </w:r>
      <w:r w:rsidRPr="006446BE">
        <w:rPr>
          <w:rFonts w:ascii="Arial" w:hAnsi="Arial" w:cs="Arial"/>
        </w:rPr>
        <w:t>LOI</w:t>
      </w:r>
      <w:r w:rsidRPr="006446BE">
        <w:rPr>
          <w:rFonts w:ascii="Arial" w:hAnsi="Arial" w:cs="Arial"/>
        </w:rPr>
        <w:t xml:space="preserve"> 2014 did not provide a definition of what constitutes "approval of investment policy." In Decree No. 118/2015/ND-CP, which guides the implementation of this law, the terms “approval of investment policy” and “decision on investment policy” were merely mentioned without any clear definition</w:t>
      </w:r>
      <w:r w:rsidR="002453DD" w:rsidRPr="00FE0CCD">
        <w:rPr>
          <w:rFonts w:ascii="Arial" w:hAnsi="Arial" w:cs="Arial"/>
        </w:rPr>
        <w:t>.</w:t>
      </w:r>
      <w:r w:rsidR="00F40B13" w:rsidRPr="00FE0CCD">
        <w:rPr>
          <w:rFonts w:ascii="Arial" w:hAnsi="Arial" w:cs="Arial"/>
        </w:rPr>
        <w:t xml:space="preserve"> </w:t>
      </w:r>
      <w:r w:rsidR="003900A7" w:rsidRPr="003900A7">
        <w:rPr>
          <w:rFonts w:ascii="Arial" w:hAnsi="Arial" w:cs="Arial"/>
        </w:rPr>
        <w:t>In contrast, the </w:t>
      </w:r>
      <w:r w:rsidR="003900A7">
        <w:rPr>
          <w:rFonts w:ascii="Arial" w:hAnsi="Arial" w:cs="Arial"/>
        </w:rPr>
        <w:t>LOI</w:t>
      </w:r>
      <w:r w:rsidR="003900A7" w:rsidRPr="003900A7">
        <w:rPr>
          <w:rFonts w:ascii="Arial" w:hAnsi="Arial" w:cs="Arial"/>
        </w:rPr>
        <w:t xml:space="preserve"> 2020 offers a specific definition of approval of investment policy: it is the act of a competent state authority approving the objectives, location, scale, implementation schedule and duration of an investment project; the investor or the method of selecting the investor; and any special mechanisms or policies (if applicable) for implementing the investment project</w:t>
      </w:r>
      <w:r w:rsidR="00F24AE8" w:rsidRPr="00FE0CCD">
        <w:rPr>
          <w:rStyle w:val="FootnoteReference"/>
          <w:rFonts w:ascii="Arial" w:hAnsi="Arial" w:cs="Arial"/>
        </w:rPr>
        <w:footnoteReference w:id="1"/>
      </w:r>
      <w:r w:rsidR="000D5FB1" w:rsidRPr="00FE0CCD">
        <w:rPr>
          <w:rFonts w:ascii="Arial" w:hAnsi="Arial" w:cs="Arial"/>
        </w:rPr>
        <w:t>.</w:t>
      </w:r>
      <w:r w:rsidR="000D5FB1" w:rsidRPr="00FE0CCD">
        <w:rPr>
          <w:rFonts w:ascii="Arial" w:hAnsi="Arial" w:cs="Arial"/>
        </w:rPr>
        <w:t xml:space="preserve"> </w:t>
      </w:r>
    </w:p>
    <w:p w14:paraId="1692AC5E" w14:textId="77777777" w:rsidR="000D5FB1" w:rsidRPr="00FE0CCD" w:rsidRDefault="000D5FB1" w:rsidP="000D5FB1">
      <w:pPr>
        <w:spacing w:after="0" w:line="276" w:lineRule="auto"/>
        <w:ind w:left="720"/>
        <w:jc w:val="both"/>
        <w:rPr>
          <w:rFonts w:ascii="Arial" w:hAnsi="Arial" w:cs="Arial"/>
        </w:rPr>
      </w:pPr>
    </w:p>
    <w:p w14:paraId="53973EC2" w14:textId="6A5258BA" w:rsidR="00921039" w:rsidRPr="00FE0CCD" w:rsidRDefault="00302E3F" w:rsidP="00BE1021">
      <w:pPr>
        <w:spacing w:after="0" w:line="276" w:lineRule="auto"/>
        <w:jc w:val="both"/>
        <w:rPr>
          <w:rFonts w:ascii="Arial" w:hAnsi="Arial" w:cs="Arial"/>
        </w:rPr>
      </w:pPr>
      <w:r w:rsidRPr="00302E3F">
        <w:rPr>
          <w:rFonts w:ascii="Arial" w:hAnsi="Arial" w:cs="Arial"/>
        </w:rPr>
        <w:t>From a semantic perspective, the change in terminology more accurately reflects the nature of the process—where the investor submits an “investment policy proposal” for the state authority to consider and “approve.”</w:t>
      </w:r>
      <w:r w:rsidR="00C04325" w:rsidRPr="00FE0CCD">
        <w:rPr>
          <w:rFonts w:ascii="Arial" w:hAnsi="Arial" w:cs="Arial"/>
        </w:rPr>
        <w:t xml:space="preserve"> </w:t>
      </w:r>
    </w:p>
    <w:p w14:paraId="35C4E8D8" w14:textId="77777777" w:rsidR="00921039" w:rsidRPr="00FE0CCD" w:rsidRDefault="00921039" w:rsidP="00BE1021">
      <w:pPr>
        <w:spacing w:after="0" w:line="276" w:lineRule="auto"/>
        <w:jc w:val="both"/>
        <w:rPr>
          <w:rFonts w:ascii="Arial" w:hAnsi="Arial" w:cs="Arial"/>
        </w:rPr>
      </w:pPr>
    </w:p>
    <w:p w14:paraId="09ED7790" w14:textId="02E91915" w:rsidR="00F00CC6" w:rsidRPr="00590A3C" w:rsidRDefault="00F00CC6" w:rsidP="00F00CC6">
      <w:pPr>
        <w:pStyle w:val="ListParagraph"/>
        <w:numPr>
          <w:ilvl w:val="0"/>
          <w:numId w:val="17"/>
        </w:numPr>
        <w:spacing w:after="0" w:line="276" w:lineRule="auto"/>
        <w:ind w:hanging="720"/>
        <w:jc w:val="both"/>
        <w:rPr>
          <w:rFonts w:ascii="Arial" w:hAnsi="Arial" w:cs="Arial"/>
          <w:b/>
          <w:bCs/>
        </w:rPr>
      </w:pPr>
      <w:r w:rsidRPr="00590A3C">
        <w:rPr>
          <w:rFonts w:ascii="Arial" w:hAnsi="Arial" w:cs="Arial"/>
          <w:b/>
          <w:bCs/>
        </w:rPr>
        <w:t xml:space="preserve">Analysis of </w:t>
      </w:r>
      <w:r w:rsidR="00C61F25" w:rsidRPr="00590A3C">
        <w:rPr>
          <w:rFonts w:ascii="Arial" w:hAnsi="Arial" w:cs="Arial"/>
          <w:b/>
          <w:bCs/>
        </w:rPr>
        <w:t xml:space="preserve">projects subject </w:t>
      </w:r>
      <w:r w:rsidRPr="00590A3C">
        <w:rPr>
          <w:rFonts w:ascii="Arial" w:hAnsi="Arial" w:cs="Arial"/>
          <w:b/>
          <w:bCs/>
        </w:rPr>
        <w:t xml:space="preserve">to PPC </w:t>
      </w:r>
      <w:r w:rsidR="007679F0" w:rsidRPr="00590A3C">
        <w:rPr>
          <w:rFonts w:ascii="Arial" w:hAnsi="Arial" w:cs="Arial"/>
          <w:b/>
          <w:bCs/>
        </w:rPr>
        <w:t>Approval of Investment Policy</w:t>
      </w:r>
    </w:p>
    <w:p w14:paraId="30B2E144" w14:textId="77777777" w:rsidR="00F00CC6" w:rsidRPr="00FE0CCD" w:rsidRDefault="00F00CC6" w:rsidP="00F00CC6">
      <w:pPr>
        <w:pStyle w:val="ListParagraph"/>
        <w:spacing w:after="0" w:line="276" w:lineRule="auto"/>
        <w:jc w:val="both"/>
        <w:rPr>
          <w:rFonts w:ascii="Arial" w:hAnsi="Arial" w:cs="Arial"/>
        </w:rPr>
      </w:pPr>
    </w:p>
    <w:p w14:paraId="4101652C" w14:textId="55A2F1DC" w:rsidR="00524398" w:rsidRPr="00FE0CCD" w:rsidRDefault="00DF2ABC" w:rsidP="00BE1021">
      <w:pPr>
        <w:spacing w:after="0" w:line="276" w:lineRule="auto"/>
        <w:jc w:val="both"/>
        <w:rPr>
          <w:rFonts w:ascii="Arial" w:hAnsi="Arial" w:cs="Arial"/>
        </w:rPr>
      </w:pPr>
      <w:r w:rsidRPr="00FE0CCD">
        <w:rPr>
          <w:rFonts w:ascii="Arial" w:hAnsi="Arial" w:cs="Arial"/>
        </w:rPr>
        <w:t xml:space="preserve">Article 32 of the LOI 2020, as amended by Law No. </w:t>
      </w:r>
      <w:r w:rsidR="000540F6">
        <w:rPr>
          <w:rFonts w:ascii="Arial" w:hAnsi="Arial" w:cs="Arial"/>
        </w:rPr>
        <w:t>90</w:t>
      </w:r>
      <w:r w:rsidRPr="00FE0CCD">
        <w:rPr>
          <w:rFonts w:ascii="Arial" w:hAnsi="Arial" w:cs="Arial"/>
        </w:rPr>
        <w:t>/202</w:t>
      </w:r>
      <w:r w:rsidR="000540F6">
        <w:rPr>
          <w:rFonts w:ascii="Arial" w:hAnsi="Arial" w:cs="Arial"/>
        </w:rPr>
        <w:t>5</w:t>
      </w:r>
      <w:r w:rsidRPr="00FE0CCD">
        <w:rPr>
          <w:rFonts w:ascii="Arial" w:hAnsi="Arial" w:cs="Arial"/>
        </w:rPr>
        <w:t>/QH15</w:t>
      </w:r>
      <w:r w:rsidR="00C34CAA">
        <w:rPr>
          <w:rFonts w:ascii="Arial" w:hAnsi="Arial" w:cs="Arial"/>
        </w:rPr>
        <w:t xml:space="preserve">, Law </w:t>
      </w:r>
      <w:r w:rsidR="00C34CAA" w:rsidRPr="00C34CAA">
        <w:rPr>
          <w:rFonts w:ascii="Arial" w:hAnsi="Arial" w:cs="Arial"/>
        </w:rPr>
        <w:t>57/2024/QH15</w:t>
      </w:r>
      <w:r w:rsidRPr="00FE0CCD">
        <w:rPr>
          <w:rFonts w:ascii="Arial" w:hAnsi="Arial" w:cs="Arial"/>
        </w:rPr>
        <w:t>, delineates the authority of the PPC. This delegation of power is crucial, allowing for more agile local-level decision-making for projects that, while significant, do not rise to the level of requiring Prime Ministerial or National Assembly oversight. The key categories are</w:t>
      </w:r>
      <w:r w:rsidR="007F65FE" w:rsidRPr="00FE0CCD">
        <w:rPr>
          <w:rStyle w:val="FootnoteReference"/>
          <w:rFonts w:ascii="Arial" w:hAnsi="Arial" w:cs="Arial"/>
        </w:rPr>
        <w:footnoteReference w:id="2"/>
      </w:r>
      <w:r w:rsidR="007F65FE" w:rsidRPr="00FE0CCD">
        <w:rPr>
          <w:rFonts w:ascii="Arial" w:hAnsi="Arial" w:cs="Arial"/>
        </w:rPr>
        <w:t xml:space="preserve">: </w:t>
      </w:r>
    </w:p>
    <w:p w14:paraId="5B465F78" w14:textId="77777777" w:rsidR="00BE1021" w:rsidRPr="00FE0CCD" w:rsidRDefault="00BE1021" w:rsidP="00BE1021">
      <w:pPr>
        <w:spacing w:after="0" w:line="276" w:lineRule="auto"/>
        <w:jc w:val="both"/>
        <w:rPr>
          <w:rFonts w:ascii="Arial" w:hAnsi="Arial" w:cs="Arial"/>
        </w:rPr>
      </w:pPr>
    </w:p>
    <w:p w14:paraId="17E0B7B0" w14:textId="016DA702" w:rsidR="007F65FE" w:rsidRDefault="007F65FE" w:rsidP="00404263">
      <w:pPr>
        <w:pStyle w:val="ListParagraph"/>
        <w:numPr>
          <w:ilvl w:val="0"/>
          <w:numId w:val="15"/>
        </w:numPr>
        <w:tabs>
          <w:tab w:val="left" w:pos="900"/>
        </w:tabs>
        <w:spacing w:after="0" w:line="276" w:lineRule="auto"/>
        <w:contextualSpacing w:val="0"/>
        <w:rPr>
          <w:rStyle w:val="spellingerror"/>
          <w:rFonts w:ascii="Arial" w:hAnsi="Arial" w:cs="Arial"/>
          <w:color w:val="000000"/>
          <w:shd w:val="clear" w:color="auto" w:fill="FFFFFF"/>
        </w:rPr>
      </w:pPr>
      <w:r w:rsidRPr="00FE0CCD">
        <w:rPr>
          <w:rFonts w:ascii="Arial" w:hAnsi="Arial" w:cs="Arial"/>
        </w:rPr>
        <w:t>Investment projects applying for land allocation or lease by the State not through auction, bidding or transfer; projects applying for permission for change of land use purposes, except cases of land allocation or land lease, permission for change of land use purposes of households or individuals for which written approvals of provincial-level People’s Committees are not required in accordance with the land law</w:t>
      </w:r>
      <w:r w:rsidR="00A965B2" w:rsidRPr="00FE0CCD">
        <w:rPr>
          <w:rStyle w:val="spellingerror"/>
          <w:rFonts w:ascii="Arial" w:hAnsi="Arial" w:cs="Arial"/>
          <w:color w:val="000000"/>
          <w:shd w:val="clear" w:color="auto" w:fill="FFFFFF"/>
        </w:rPr>
        <w:t>;</w:t>
      </w:r>
    </w:p>
    <w:p w14:paraId="085BA25D" w14:textId="77777777" w:rsidR="00970A83" w:rsidRDefault="00970A83" w:rsidP="00970A83">
      <w:pPr>
        <w:pStyle w:val="ListParagraph"/>
        <w:tabs>
          <w:tab w:val="left" w:pos="900"/>
        </w:tabs>
        <w:spacing w:after="0" w:line="276" w:lineRule="auto"/>
        <w:contextualSpacing w:val="0"/>
        <w:jc w:val="both"/>
        <w:rPr>
          <w:rStyle w:val="spellingerror"/>
          <w:rFonts w:ascii="Arial" w:hAnsi="Arial" w:cs="Arial"/>
          <w:color w:val="000000"/>
          <w:shd w:val="clear" w:color="auto" w:fill="FFFFFF"/>
        </w:rPr>
      </w:pPr>
    </w:p>
    <w:p w14:paraId="128B6D6F" w14:textId="03819983" w:rsidR="00970A83" w:rsidRPr="00555C94" w:rsidRDefault="00555C94" w:rsidP="00404263">
      <w:pPr>
        <w:pStyle w:val="ListParagraph"/>
        <w:numPr>
          <w:ilvl w:val="0"/>
          <w:numId w:val="15"/>
        </w:numPr>
        <w:tabs>
          <w:tab w:val="left" w:pos="900"/>
        </w:tabs>
        <w:spacing w:after="0" w:line="276" w:lineRule="auto"/>
        <w:contextualSpacing w:val="0"/>
        <w:rPr>
          <w:rStyle w:val="spellingerror"/>
          <w:rFonts w:ascii="Arial" w:hAnsi="Arial" w:cs="Arial"/>
          <w:color w:val="000000"/>
          <w:shd w:val="clear" w:color="auto" w:fill="FFFFFF"/>
        </w:rPr>
      </w:pPr>
      <w:r w:rsidRPr="00555C94">
        <w:rPr>
          <w:rFonts w:ascii="Arial" w:hAnsi="Arial" w:cs="Arial"/>
          <w:color w:val="000000"/>
          <w:shd w:val="clear" w:color="auto" w:fill="FFFFFF"/>
        </w:rPr>
        <w:t>Investment projects that comply with the provisions of the law on cultural heritage, regardless of land area or population size, located within Protection Zones I and II of monuments recognized by competent authorities as national monuments or special national monuments, excluding Protection Zone I of special national monuments listed in the World Heritage List; and investment projects, regardless of land area or population size, located in restricted development zones or historic inner-city areas (as defined in urban planning) of special-grade urban centers</w:t>
      </w:r>
      <w:r w:rsidR="00FF4FDA" w:rsidRPr="00555C94">
        <w:rPr>
          <w:rFonts w:ascii="Arial" w:hAnsi="Arial" w:cs="Arial"/>
          <w:color w:val="000000"/>
          <w:shd w:val="clear" w:color="auto" w:fill="FFFFFF"/>
        </w:rPr>
        <w:t>;</w:t>
      </w:r>
    </w:p>
    <w:p w14:paraId="66ACA7D4" w14:textId="77777777" w:rsidR="007F65FE" w:rsidRPr="00FE0CCD" w:rsidRDefault="007F65FE" w:rsidP="00BE1021">
      <w:pPr>
        <w:pStyle w:val="ListParagraph"/>
        <w:tabs>
          <w:tab w:val="left" w:pos="900"/>
        </w:tabs>
        <w:spacing w:after="0" w:line="276" w:lineRule="auto"/>
        <w:contextualSpacing w:val="0"/>
        <w:jc w:val="both"/>
        <w:rPr>
          <w:rStyle w:val="spellingerror"/>
          <w:rFonts w:ascii="Arial" w:hAnsi="Arial" w:cs="Arial"/>
          <w:color w:val="000000"/>
          <w:shd w:val="clear" w:color="auto" w:fill="FFFFFF"/>
        </w:rPr>
      </w:pPr>
    </w:p>
    <w:p w14:paraId="08EAD062" w14:textId="2C97A26C" w:rsidR="007F65FE" w:rsidRPr="009E2E1E" w:rsidRDefault="009E2E1E" w:rsidP="00BE1021">
      <w:pPr>
        <w:pStyle w:val="ListParagraph"/>
        <w:numPr>
          <w:ilvl w:val="0"/>
          <w:numId w:val="15"/>
        </w:numPr>
        <w:tabs>
          <w:tab w:val="left" w:pos="900"/>
        </w:tabs>
        <w:spacing w:after="0" w:line="276" w:lineRule="auto"/>
        <w:contextualSpacing w:val="0"/>
        <w:jc w:val="both"/>
        <w:rPr>
          <w:rStyle w:val="spellingerror"/>
          <w:rFonts w:ascii="Arial" w:hAnsi="Arial" w:cs="Arial"/>
          <w:color w:val="000000"/>
          <w:shd w:val="clear" w:color="auto" w:fill="FFFFFF"/>
        </w:rPr>
      </w:pPr>
      <w:r w:rsidRPr="009E2E1E">
        <w:rPr>
          <w:rFonts w:ascii="Arial" w:hAnsi="Arial" w:cs="Arial"/>
          <w:color w:val="000000"/>
          <w:shd w:val="clear" w:color="auto" w:fill="FFFFFF"/>
        </w:rPr>
        <w:t>Investment projects for the construction of housing (for sale, lease, or lease-purchase) or urban areas, regardless of land use scale or population size</w:t>
      </w:r>
      <w:r w:rsidR="00A965B2" w:rsidRPr="009E2E1E">
        <w:rPr>
          <w:rStyle w:val="spellingerror"/>
          <w:rFonts w:ascii="Arial" w:hAnsi="Arial" w:cs="Arial"/>
          <w:color w:val="000000"/>
          <w:shd w:val="clear" w:color="auto" w:fill="FFFFFF"/>
        </w:rPr>
        <w:t>;</w:t>
      </w:r>
    </w:p>
    <w:p w14:paraId="408E5986" w14:textId="77777777" w:rsidR="00EA4F80" w:rsidRDefault="00EA4F80" w:rsidP="00EA4F80">
      <w:pPr>
        <w:pStyle w:val="ListParagraph"/>
        <w:tabs>
          <w:tab w:val="left" w:pos="900"/>
        </w:tabs>
        <w:spacing w:after="0" w:line="276" w:lineRule="auto"/>
        <w:contextualSpacing w:val="0"/>
        <w:jc w:val="both"/>
        <w:rPr>
          <w:rStyle w:val="spellingerror"/>
          <w:rFonts w:ascii="Arial" w:hAnsi="Arial" w:cs="Arial"/>
          <w:color w:val="000000"/>
          <w:shd w:val="clear" w:color="auto" w:fill="FFFFFF"/>
        </w:rPr>
      </w:pPr>
    </w:p>
    <w:p w14:paraId="19BC426A" w14:textId="4BA6429A" w:rsidR="00EA4F80" w:rsidRPr="009E2E1E" w:rsidRDefault="009E2E1E" w:rsidP="009E2E1E">
      <w:pPr>
        <w:pStyle w:val="ListParagraph"/>
        <w:numPr>
          <w:ilvl w:val="0"/>
          <w:numId w:val="15"/>
        </w:numPr>
        <w:tabs>
          <w:tab w:val="left" w:pos="900"/>
        </w:tabs>
        <w:spacing w:after="0" w:line="276" w:lineRule="auto"/>
        <w:contextualSpacing w:val="0"/>
        <w:rPr>
          <w:rStyle w:val="spellingerror"/>
          <w:rFonts w:ascii="Arial" w:hAnsi="Arial" w:cs="Arial"/>
          <w:color w:val="000000"/>
          <w:shd w:val="clear" w:color="auto" w:fill="FFFFFF"/>
        </w:rPr>
      </w:pPr>
      <w:r w:rsidRPr="009E2E1E">
        <w:rPr>
          <w:rFonts w:ascii="Arial" w:hAnsi="Arial" w:cs="Arial"/>
          <w:color w:val="000000"/>
          <w:shd w:val="clear" w:color="auto" w:fill="FFFFFF"/>
        </w:rPr>
        <w:t>Investment projects for the construction and commercial operation of infrastructure in industrial zones, export processing zones, or centralized digital technology zones</w:t>
      </w:r>
      <w:r w:rsidR="00EA4F80" w:rsidRPr="009E2E1E">
        <w:rPr>
          <w:rFonts w:ascii="Arial" w:hAnsi="Arial" w:cs="Arial"/>
          <w:color w:val="000000"/>
          <w:shd w:val="clear" w:color="auto" w:fill="FFFFFF"/>
        </w:rPr>
        <w:t>;</w:t>
      </w:r>
    </w:p>
    <w:p w14:paraId="0A7D6DD2" w14:textId="77777777" w:rsidR="007F65FE" w:rsidRPr="00FE0CCD" w:rsidRDefault="007F65FE" w:rsidP="00BE1021">
      <w:pPr>
        <w:pStyle w:val="ListParagraph"/>
        <w:tabs>
          <w:tab w:val="left" w:pos="900"/>
        </w:tabs>
        <w:spacing w:after="0" w:line="276" w:lineRule="auto"/>
        <w:contextualSpacing w:val="0"/>
        <w:jc w:val="both"/>
        <w:rPr>
          <w:rStyle w:val="spellingerror"/>
          <w:rFonts w:ascii="Arial" w:hAnsi="Arial" w:cs="Arial"/>
          <w:color w:val="000000"/>
          <w:shd w:val="clear" w:color="auto" w:fill="FFFFFF"/>
        </w:rPr>
      </w:pPr>
    </w:p>
    <w:p w14:paraId="1B9AEE73" w14:textId="2A16F827" w:rsidR="007F65FE" w:rsidRPr="00C50EC6" w:rsidRDefault="00C50EC6" w:rsidP="00BE1021">
      <w:pPr>
        <w:pStyle w:val="ListParagraph"/>
        <w:numPr>
          <w:ilvl w:val="0"/>
          <w:numId w:val="15"/>
        </w:numPr>
        <w:tabs>
          <w:tab w:val="left" w:pos="900"/>
        </w:tabs>
        <w:spacing w:after="0" w:line="276" w:lineRule="auto"/>
        <w:contextualSpacing w:val="0"/>
        <w:jc w:val="both"/>
        <w:rPr>
          <w:rStyle w:val="spellingerror"/>
          <w:rFonts w:ascii="Arial" w:hAnsi="Arial" w:cs="Arial"/>
          <w:color w:val="000000"/>
          <w:shd w:val="clear" w:color="auto" w:fill="FFFFFF"/>
        </w:rPr>
      </w:pPr>
      <w:r w:rsidRPr="00C50EC6">
        <w:rPr>
          <w:rFonts w:ascii="Arial" w:hAnsi="Arial" w:cs="Arial"/>
          <w:color w:val="000000"/>
          <w:shd w:val="clear" w:color="auto" w:fill="FFFFFF"/>
        </w:rPr>
        <w:t>Investment projects for the new construction of ports or port areas within special-grade seaports or Class I seaports</w:t>
      </w:r>
      <w:r w:rsidR="00A965B2" w:rsidRPr="00C50EC6">
        <w:rPr>
          <w:rStyle w:val="spellingerror"/>
          <w:rFonts w:ascii="Arial" w:hAnsi="Arial" w:cs="Arial"/>
          <w:color w:val="000000"/>
          <w:shd w:val="clear" w:color="auto" w:fill="FFFFFF"/>
        </w:rPr>
        <w:t>;</w:t>
      </w:r>
    </w:p>
    <w:p w14:paraId="4B37CB16" w14:textId="77777777" w:rsidR="007F65FE" w:rsidRPr="00FE0CCD" w:rsidRDefault="007F65FE" w:rsidP="00BE1021">
      <w:pPr>
        <w:pStyle w:val="ListParagraph"/>
        <w:tabs>
          <w:tab w:val="left" w:pos="900"/>
        </w:tabs>
        <w:spacing w:after="0" w:line="276" w:lineRule="auto"/>
        <w:contextualSpacing w:val="0"/>
        <w:jc w:val="both"/>
        <w:rPr>
          <w:rStyle w:val="spellingerror"/>
          <w:rFonts w:ascii="Arial" w:hAnsi="Arial" w:cs="Arial"/>
          <w:color w:val="000000"/>
          <w:shd w:val="clear" w:color="auto" w:fill="FFFFFF"/>
        </w:rPr>
      </w:pPr>
    </w:p>
    <w:p w14:paraId="1B79423F" w14:textId="05BF5700" w:rsidR="00A965B2" w:rsidRDefault="007F65FE" w:rsidP="00BE1021">
      <w:pPr>
        <w:pStyle w:val="ListParagraph"/>
        <w:numPr>
          <w:ilvl w:val="0"/>
          <w:numId w:val="15"/>
        </w:numPr>
        <w:tabs>
          <w:tab w:val="left" w:pos="900"/>
        </w:tabs>
        <w:spacing w:after="0" w:line="276" w:lineRule="auto"/>
        <w:contextualSpacing w:val="0"/>
        <w:jc w:val="both"/>
        <w:rPr>
          <w:rStyle w:val="spellingerror"/>
          <w:rFonts w:ascii="Arial" w:hAnsi="Arial" w:cs="Arial"/>
          <w:color w:val="000000"/>
          <w:shd w:val="clear" w:color="auto" w:fill="FFFFFF"/>
        </w:rPr>
      </w:pPr>
      <w:r w:rsidRPr="00FE0CCD">
        <w:rPr>
          <w:rStyle w:val="spellingerror"/>
          <w:rFonts w:ascii="Arial" w:hAnsi="Arial" w:cs="Arial"/>
          <w:color w:val="000000"/>
          <w:shd w:val="clear" w:color="auto" w:fill="FFFFFF"/>
        </w:rPr>
        <w:t>Investment projects of foreign investors or foreign-invested economic organizations on islands or in border communes, wards or townships; coastal communes, wards or townships; or other areas having impacts on national defense and security.</w:t>
      </w:r>
    </w:p>
    <w:p w14:paraId="37468E72" w14:textId="77777777" w:rsidR="006307C5" w:rsidRDefault="006307C5" w:rsidP="006307C5">
      <w:pPr>
        <w:pStyle w:val="ListParagraph"/>
        <w:tabs>
          <w:tab w:val="left" w:pos="900"/>
        </w:tabs>
        <w:spacing w:after="0" w:line="276" w:lineRule="auto"/>
        <w:contextualSpacing w:val="0"/>
        <w:jc w:val="both"/>
        <w:rPr>
          <w:rStyle w:val="spellingerror"/>
          <w:rFonts w:ascii="Arial" w:hAnsi="Arial" w:cs="Arial"/>
          <w:color w:val="000000"/>
          <w:shd w:val="clear" w:color="auto" w:fill="FFFFFF"/>
        </w:rPr>
      </w:pPr>
    </w:p>
    <w:p w14:paraId="65DDC66F" w14:textId="1DB2A74E" w:rsidR="006307C5" w:rsidRPr="00590A3C" w:rsidRDefault="00C50EC6" w:rsidP="006307C5">
      <w:pPr>
        <w:pStyle w:val="ListParagraph"/>
        <w:numPr>
          <w:ilvl w:val="0"/>
          <w:numId w:val="15"/>
        </w:numPr>
        <w:tabs>
          <w:tab w:val="left" w:pos="900"/>
        </w:tabs>
        <w:spacing w:after="0" w:line="276" w:lineRule="auto"/>
        <w:jc w:val="both"/>
        <w:rPr>
          <w:rStyle w:val="spellingerror"/>
          <w:rFonts w:ascii="Arial" w:hAnsi="Arial" w:cs="Arial"/>
          <w:color w:val="000000"/>
          <w:shd w:val="clear" w:color="auto" w:fill="FFFFFF"/>
        </w:rPr>
      </w:pPr>
      <w:r w:rsidRPr="00590A3C">
        <w:rPr>
          <w:rStyle w:val="spellingerror"/>
          <w:rFonts w:ascii="Arial" w:hAnsi="Arial" w:cs="Arial"/>
          <w:color w:val="000000"/>
          <w:shd w:val="clear" w:color="auto" w:fill="FFFFFF"/>
        </w:rPr>
        <w:t>Investment projects requiring resettlement of 10,000 people or more in mountainous areas, or 20,000 people or more in other regions</w:t>
      </w:r>
      <w:r w:rsidR="006307C5" w:rsidRPr="00590A3C">
        <w:rPr>
          <w:rStyle w:val="spellingerror"/>
          <w:rFonts w:ascii="Arial" w:hAnsi="Arial" w:cs="Arial"/>
          <w:color w:val="000000"/>
          <w:shd w:val="clear" w:color="auto" w:fill="FFFFFF"/>
        </w:rPr>
        <w:t>;</w:t>
      </w:r>
    </w:p>
    <w:p w14:paraId="22FAC1E8" w14:textId="77777777" w:rsidR="006307C5" w:rsidRPr="00590A3C" w:rsidRDefault="006307C5" w:rsidP="006307C5">
      <w:pPr>
        <w:pStyle w:val="ListParagraph"/>
        <w:tabs>
          <w:tab w:val="left" w:pos="900"/>
        </w:tabs>
        <w:spacing w:after="0" w:line="276" w:lineRule="auto"/>
        <w:jc w:val="both"/>
        <w:rPr>
          <w:rStyle w:val="spellingerror"/>
          <w:rFonts w:ascii="Arial" w:hAnsi="Arial" w:cs="Arial"/>
          <w:color w:val="000000"/>
          <w:shd w:val="clear" w:color="auto" w:fill="FFFFFF"/>
        </w:rPr>
      </w:pPr>
    </w:p>
    <w:p w14:paraId="4AF4A014" w14:textId="27A108AE" w:rsidR="006307C5" w:rsidRPr="00590A3C" w:rsidRDefault="009B46E3" w:rsidP="006307C5">
      <w:pPr>
        <w:pStyle w:val="ListParagraph"/>
        <w:numPr>
          <w:ilvl w:val="0"/>
          <w:numId w:val="15"/>
        </w:numPr>
        <w:tabs>
          <w:tab w:val="left" w:pos="900"/>
        </w:tabs>
        <w:spacing w:after="0" w:line="276" w:lineRule="auto"/>
        <w:jc w:val="both"/>
        <w:rPr>
          <w:rStyle w:val="spellingerror"/>
          <w:rFonts w:ascii="Arial" w:hAnsi="Arial" w:cs="Arial"/>
          <w:color w:val="000000"/>
          <w:shd w:val="clear" w:color="auto" w:fill="FFFFFF"/>
        </w:rPr>
      </w:pPr>
      <w:r w:rsidRPr="00590A3C">
        <w:rPr>
          <w:rFonts w:ascii="Arial" w:hAnsi="Arial" w:cs="Arial"/>
          <w:color w:val="000000"/>
          <w:shd w:val="clear" w:color="auto" w:fill="FFFFFF"/>
        </w:rPr>
        <w:t>Investment projects for the new construction of airports or airfields; runways of airports or airfields; passenger terminals of international airports; or cargo terminals of airports or airfields with a capacity of 1 million tons/year or more</w:t>
      </w:r>
      <w:r w:rsidR="006307C5" w:rsidRPr="00590A3C">
        <w:rPr>
          <w:rStyle w:val="spellingerror"/>
          <w:rFonts w:ascii="Arial" w:hAnsi="Arial" w:cs="Arial"/>
          <w:color w:val="000000"/>
          <w:shd w:val="clear" w:color="auto" w:fill="FFFFFF"/>
        </w:rPr>
        <w:t>;</w:t>
      </w:r>
    </w:p>
    <w:p w14:paraId="1A7B25F5" w14:textId="77777777" w:rsidR="006307C5" w:rsidRPr="00590A3C" w:rsidRDefault="006307C5" w:rsidP="006307C5">
      <w:pPr>
        <w:pStyle w:val="ListParagraph"/>
        <w:tabs>
          <w:tab w:val="left" w:pos="900"/>
        </w:tabs>
        <w:spacing w:after="0" w:line="276" w:lineRule="auto"/>
        <w:jc w:val="both"/>
        <w:rPr>
          <w:rStyle w:val="spellingerror"/>
          <w:rFonts w:ascii="Arial" w:hAnsi="Arial" w:cs="Arial"/>
          <w:color w:val="000000"/>
          <w:shd w:val="clear" w:color="auto" w:fill="FFFFFF"/>
        </w:rPr>
      </w:pPr>
    </w:p>
    <w:p w14:paraId="1CF860F8" w14:textId="7A489F6D" w:rsidR="006307C5" w:rsidRPr="00590A3C" w:rsidRDefault="00590A3C" w:rsidP="006307C5">
      <w:pPr>
        <w:pStyle w:val="ListParagraph"/>
        <w:numPr>
          <w:ilvl w:val="0"/>
          <w:numId w:val="15"/>
        </w:numPr>
        <w:tabs>
          <w:tab w:val="left" w:pos="900"/>
        </w:tabs>
        <w:spacing w:after="0" w:line="276" w:lineRule="auto"/>
        <w:jc w:val="both"/>
        <w:rPr>
          <w:rStyle w:val="spellingerror"/>
          <w:rFonts w:ascii="Arial" w:hAnsi="Arial" w:cs="Arial"/>
          <w:color w:val="000000"/>
          <w:shd w:val="clear" w:color="auto" w:fill="FFFFFF"/>
        </w:rPr>
      </w:pPr>
      <w:r w:rsidRPr="00590A3C">
        <w:rPr>
          <w:rFonts w:ascii="Arial" w:hAnsi="Arial" w:cs="Arial"/>
          <w:color w:val="000000"/>
          <w:shd w:val="clear" w:color="auto" w:fill="FFFFFF"/>
        </w:rPr>
        <w:t>Investment projects for new business operations in air passenger transport</w:t>
      </w:r>
      <w:r w:rsidR="006307C5" w:rsidRPr="00590A3C">
        <w:rPr>
          <w:rStyle w:val="spellingerror"/>
          <w:rFonts w:ascii="Arial" w:hAnsi="Arial" w:cs="Arial"/>
          <w:color w:val="000000"/>
          <w:shd w:val="clear" w:color="auto" w:fill="FFFFFF"/>
        </w:rPr>
        <w:t>;</w:t>
      </w:r>
    </w:p>
    <w:p w14:paraId="7FACBE51" w14:textId="77777777" w:rsidR="006307C5" w:rsidRPr="00590A3C" w:rsidRDefault="006307C5" w:rsidP="006307C5">
      <w:pPr>
        <w:pStyle w:val="ListParagraph"/>
        <w:tabs>
          <w:tab w:val="left" w:pos="900"/>
        </w:tabs>
        <w:spacing w:after="0" w:line="276" w:lineRule="auto"/>
        <w:jc w:val="both"/>
        <w:rPr>
          <w:rStyle w:val="spellingerror"/>
          <w:rFonts w:ascii="Arial" w:hAnsi="Arial" w:cs="Arial"/>
          <w:color w:val="000000"/>
          <w:shd w:val="clear" w:color="auto" w:fill="FFFFFF"/>
        </w:rPr>
      </w:pPr>
    </w:p>
    <w:p w14:paraId="06B8069E" w14:textId="1DA583F4" w:rsidR="006307C5" w:rsidRPr="00590A3C" w:rsidRDefault="00590A3C" w:rsidP="006307C5">
      <w:pPr>
        <w:pStyle w:val="ListParagraph"/>
        <w:numPr>
          <w:ilvl w:val="0"/>
          <w:numId w:val="15"/>
        </w:numPr>
        <w:tabs>
          <w:tab w:val="left" w:pos="900"/>
        </w:tabs>
        <w:spacing w:after="0" w:line="276" w:lineRule="auto"/>
        <w:contextualSpacing w:val="0"/>
        <w:jc w:val="both"/>
        <w:rPr>
          <w:rStyle w:val="spellingerror"/>
          <w:rFonts w:ascii="Arial" w:hAnsi="Arial" w:cs="Arial"/>
          <w:color w:val="000000"/>
          <w:shd w:val="clear" w:color="auto" w:fill="FFFFFF"/>
        </w:rPr>
      </w:pPr>
      <w:r w:rsidRPr="00590A3C">
        <w:rPr>
          <w:rStyle w:val="spellingerror"/>
          <w:rFonts w:ascii="Arial" w:hAnsi="Arial" w:cs="Arial"/>
          <w:color w:val="000000"/>
          <w:shd w:val="clear" w:color="auto" w:fill="FFFFFF"/>
        </w:rPr>
        <w:t>Investment projects for petroleum processing</w:t>
      </w:r>
      <w:r w:rsidR="006307C5" w:rsidRPr="00590A3C">
        <w:rPr>
          <w:rStyle w:val="spellingerror"/>
          <w:rFonts w:ascii="Arial" w:hAnsi="Arial" w:cs="Arial"/>
          <w:color w:val="000000"/>
          <w:shd w:val="clear" w:color="auto" w:fill="FFFFFF"/>
        </w:rPr>
        <w:t>.</w:t>
      </w:r>
    </w:p>
    <w:p w14:paraId="0877CA52" w14:textId="77777777" w:rsidR="00BE1021" w:rsidRPr="00FE0CCD" w:rsidRDefault="00BE1021" w:rsidP="00BE1021">
      <w:pPr>
        <w:pStyle w:val="ListParagraph"/>
        <w:tabs>
          <w:tab w:val="left" w:pos="900"/>
        </w:tabs>
        <w:spacing w:after="0" w:line="276" w:lineRule="auto"/>
        <w:contextualSpacing w:val="0"/>
        <w:jc w:val="both"/>
        <w:rPr>
          <w:rStyle w:val="spellingerror"/>
          <w:rFonts w:ascii="Arial" w:hAnsi="Arial" w:cs="Arial"/>
          <w:color w:val="000000"/>
          <w:shd w:val="clear" w:color="auto" w:fill="FFFFFF"/>
        </w:rPr>
      </w:pPr>
    </w:p>
    <w:p w14:paraId="50BDB95E" w14:textId="0CEADF9D" w:rsidR="00FF06AF" w:rsidRPr="00590A3C" w:rsidRDefault="00E821AA" w:rsidP="00FF06AF">
      <w:pPr>
        <w:pStyle w:val="ListParagraph"/>
        <w:numPr>
          <w:ilvl w:val="0"/>
          <w:numId w:val="17"/>
        </w:numPr>
        <w:spacing w:after="0" w:line="276" w:lineRule="auto"/>
        <w:ind w:hanging="720"/>
        <w:jc w:val="both"/>
        <w:rPr>
          <w:rFonts w:ascii="Arial" w:hAnsi="Arial" w:cs="Arial"/>
          <w:b/>
          <w:bCs/>
          <w:color w:val="000000"/>
        </w:rPr>
      </w:pPr>
      <w:r w:rsidRPr="00590A3C">
        <w:rPr>
          <w:rFonts w:ascii="Arial" w:hAnsi="Arial" w:cs="Arial"/>
          <w:b/>
          <w:bCs/>
          <w:color w:val="000000"/>
        </w:rPr>
        <w:t xml:space="preserve">Procedure for </w:t>
      </w:r>
      <w:r w:rsidR="00B8123E" w:rsidRPr="00590A3C">
        <w:rPr>
          <w:rFonts w:ascii="Arial" w:hAnsi="Arial" w:cs="Arial"/>
          <w:b/>
          <w:bCs/>
          <w:color w:val="000000"/>
        </w:rPr>
        <w:t>o</w:t>
      </w:r>
      <w:r w:rsidRPr="00590A3C">
        <w:rPr>
          <w:rFonts w:ascii="Arial" w:hAnsi="Arial" w:cs="Arial"/>
          <w:b/>
          <w:bCs/>
          <w:color w:val="000000"/>
        </w:rPr>
        <w:t xml:space="preserve">btaining PPC </w:t>
      </w:r>
      <w:r w:rsidR="007679F0" w:rsidRPr="00590A3C">
        <w:rPr>
          <w:rFonts w:ascii="Arial" w:hAnsi="Arial" w:cs="Arial"/>
          <w:b/>
          <w:bCs/>
          <w:color w:val="000000"/>
        </w:rPr>
        <w:t>Approval of Investment Policy</w:t>
      </w:r>
    </w:p>
    <w:p w14:paraId="7309182C" w14:textId="77777777" w:rsidR="00FF06AF" w:rsidRPr="00FE0CCD" w:rsidRDefault="00FF06AF" w:rsidP="00BE1021">
      <w:pPr>
        <w:spacing w:after="0" w:line="276" w:lineRule="auto"/>
        <w:jc w:val="both"/>
        <w:rPr>
          <w:rFonts w:ascii="Arial" w:hAnsi="Arial" w:cs="Arial"/>
          <w:color w:val="000000"/>
        </w:rPr>
      </w:pPr>
    </w:p>
    <w:p w14:paraId="15EF3465" w14:textId="185B3C63" w:rsidR="00A965B2" w:rsidRPr="00FE0CCD" w:rsidRDefault="007F65FE" w:rsidP="00BE1021">
      <w:pPr>
        <w:spacing w:after="0" w:line="276" w:lineRule="auto"/>
        <w:jc w:val="both"/>
        <w:rPr>
          <w:rFonts w:ascii="Arial" w:hAnsi="Arial" w:cs="Arial"/>
        </w:rPr>
      </w:pPr>
      <w:r w:rsidRPr="00FE0CCD">
        <w:rPr>
          <w:rFonts w:ascii="Arial" w:hAnsi="Arial" w:cs="Arial"/>
          <w:color w:val="000000"/>
        </w:rPr>
        <w:t xml:space="preserve">In order to receive the Approval of </w:t>
      </w:r>
      <w:r w:rsidR="00B8123E">
        <w:rPr>
          <w:rFonts w:ascii="Arial" w:hAnsi="Arial" w:cs="Arial"/>
          <w:color w:val="000000"/>
        </w:rPr>
        <w:t>I</w:t>
      </w:r>
      <w:r w:rsidRPr="00FE0CCD">
        <w:rPr>
          <w:rFonts w:ascii="Arial" w:hAnsi="Arial" w:cs="Arial"/>
          <w:color w:val="000000"/>
        </w:rPr>
        <w:t xml:space="preserve">nvestment </w:t>
      </w:r>
      <w:r w:rsidR="00B8123E">
        <w:rPr>
          <w:rFonts w:ascii="Arial" w:hAnsi="Arial" w:cs="Arial"/>
          <w:color w:val="000000"/>
        </w:rPr>
        <w:t>P</w:t>
      </w:r>
      <w:r w:rsidRPr="00FE0CCD">
        <w:rPr>
          <w:rFonts w:ascii="Arial" w:hAnsi="Arial" w:cs="Arial"/>
          <w:color w:val="000000"/>
        </w:rPr>
        <w:t xml:space="preserve">olicy by the </w:t>
      </w:r>
      <w:r w:rsidR="00B8123E">
        <w:rPr>
          <w:rFonts w:ascii="Arial" w:hAnsi="Arial" w:cs="Arial"/>
          <w:color w:val="000000"/>
        </w:rPr>
        <w:t>PPC</w:t>
      </w:r>
      <w:r w:rsidRPr="00FE0CCD">
        <w:rPr>
          <w:rFonts w:ascii="Arial" w:hAnsi="Arial" w:cs="Arial"/>
          <w:color w:val="000000"/>
        </w:rPr>
        <w:t xml:space="preserve">, investors </w:t>
      </w:r>
      <w:r w:rsidR="000A3DEA" w:rsidRPr="00FE0CCD">
        <w:rPr>
          <w:rFonts w:ascii="Arial" w:hAnsi="Arial" w:cs="Arial"/>
          <w:color w:val="000000"/>
        </w:rPr>
        <w:t>must</w:t>
      </w:r>
      <w:r w:rsidRPr="00FE0CCD">
        <w:rPr>
          <w:rFonts w:ascii="Arial" w:hAnsi="Arial" w:cs="Arial"/>
          <w:color w:val="000000"/>
        </w:rPr>
        <w:t xml:space="preserve"> follow the </w:t>
      </w:r>
      <w:r w:rsidR="000A3DEA" w:rsidRPr="00FE0CCD">
        <w:rPr>
          <w:rFonts w:ascii="Arial" w:hAnsi="Arial" w:cs="Arial"/>
          <w:color w:val="000000"/>
        </w:rPr>
        <w:t>steps</w:t>
      </w:r>
      <w:r w:rsidRPr="00FE0CCD">
        <w:rPr>
          <w:rFonts w:ascii="Arial" w:hAnsi="Arial" w:cs="Arial"/>
          <w:color w:val="000000"/>
        </w:rPr>
        <w:t xml:space="preserve"> and procedures in accordance with </w:t>
      </w:r>
      <w:r w:rsidR="000A3DEA" w:rsidRPr="00FE0CCD">
        <w:rPr>
          <w:rFonts w:ascii="Arial" w:hAnsi="Arial" w:cs="Arial"/>
        </w:rPr>
        <w:t>the Law on Investment 2020, specifically</w:t>
      </w:r>
      <w:r w:rsidR="00A965B2" w:rsidRPr="00FE0CCD">
        <w:rPr>
          <w:rFonts w:ascii="Arial" w:hAnsi="Arial" w:cs="Arial"/>
          <w:color w:val="000000"/>
        </w:rPr>
        <w:t>:</w:t>
      </w:r>
      <w:r w:rsidRPr="00FE0CCD">
        <w:rPr>
          <w:rFonts w:ascii="Arial" w:hAnsi="Arial" w:cs="Arial"/>
        </w:rPr>
        <w:t xml:space="preserve"> </w:t>
      </w:r>
    </w:p>
    <w:p w14:paraId="20E9F520" w14:textId="77777777" w:rsidR="00E821AA" w:rsidRPr="00FE0CCD" w:rsidRDefault="00E821AA" w:rsidP="00BE1021">
      <w:pPr>
        <w:spacing w:after="0" w:line="276" w:lineRule="auto"/>
        <w:jc w:val="both"/>
        <w:rPr>
          <w:rFonts w:ascii="Arial" w:hAnsi="Arial" w:cs="Arial"/>
        </w:rPr>
      </w:pPr>
    </w:p>
    <w:p w14:paraId="65FD956F" w14:textId="2FF81913" w:rsidR="00E821AA" w:rsidRPr="00590A3C" w:rsidRDefault="00E821AA" w:rsidP="00BE1021">
      <w:pPr>
        <w:spacing w:after="0" w:line="276" w:lineRule="auto"/>
        <w:jc w:val="both"/>
        <w:rPr>
          <w:rFonts w:ascii="Arial" w:hAnsi="Arial" w:cs="Arial"/>
          <w:b/>
          <w:bCs/>
        </w:rPr>
      </w:pPr>
      <w:r w:rsidRPr="00590A3C">
        <w:rPr>
          <w:rFonts w:ascii="Arial" w:hAnsi="Arial" w:cs="Arial"/>
          <w:b/>
          <w:bCs/>
        </w:rPr>
        <w:t>Step 1: Preparation of the Application Dossier</w:t>
      </w:r>
    </w:p>
    <w:p w14:paraId="728FC067" w14:textId="77777777" w:rsidR="00BE1021" w:rsidRPr="00FE0CCD" w:rsidRDefault="00BE1021" w:rsidP="00BE1021">
      <w:pPr>
        <w:spacing w:after="0" w:line="276" w:lineRule="auto"/>
        <w:jc w:val="both"/>
        <w:rPr>
          <w:rFonts w:ascii="Arial" w:hAnsi="Arial" w:cs="Arial"/>
          <w:color w:val="000000"/>
        </w:rPr>
      </w:pPr>
    </w:p>
    <w:p w14:paraId="36F7E4E6" w14:textId="62A0EB14" w:rsidR="00A965B2" w:rsidRPr="00FE0CCD" w:rsidRDefault="008D68C6" w:rsidP="008D68C6">
      <w:pPr>
        <w:spacing w:after="0" w:line="276" w:lineRule="auto"/>
        <w:jc w:val="both"/>
        <w:rPr>
          <w:rFonts w:ascii="Arial" w:hAnsi="Arial" w:cs="Arial"/>
          <w:color w:val="000000"/>
        </w:rPr>
      </w:pPr>
      <w:r w:rsidRPr="00FE0CCD">
        <w:rPr>
          <w:rFonts w:ascii="Arial" w:hAnsi="Arial" w:cs="Arial"/>
          <w:color w:val="000000"/>
        </w:rPr>
        <w:t>The investor must prepare a comprehensive dossier as stipulated in Clause 1, Article 33 of the LOI 2020. Key components include</w:t>
      </w:r>
      <w:r w:rsidR="00A965B2" w:rsidRPr="00FE0CCD">
        <w:rPr>
          <w:rStyle w:val="FootnoteReference"/>
          <w:rFonts w:ascii="Arial" w:hAnsi="Arial" w:cs="Arial"/>
          <w:color w:val="000000"/>
          <w:shd w:val="clear" w:color="auto" w:fill="FFFFFF"/>
        </w:rPr>
        <w:footnoteReference w:id="3"/>
      </w:r>
      <w:r w:rsidR="00A965B2" w:rsidRPr="00FE0CCD">
        <w:rPr>
          <w:rFonts w:ascii="Arial" w:hAnsi="Arial" w:cs="Arial"/>
          <w:color w:val="000000"/>
          <w:shd w:val="clear" w:color="auto" w:fill="FFFFFF"/>
        </w:rPr>
        <w:t>:</w:t>
      </w:r>
      <w:r w:rsidR="000A3DEA" w:rsidRPr="00FE0CCD">
        <w:rPr>
          <w:rFonts w:ascii="Arial" w:hAnsi="Arial" w:cs="Arial"/>
        </w:rPr>
        <w:t xml:space="preserve"> </w:t>
      </w:r>
    </w:p>
    <w:p w14:paraId="1C6A575D" w14:textId="77777777" w:rsidR="007173C6" w:rsidRPr="00FE0CCD" w:rsidRDefault="007173C6" w:rsidP="00BE1021">
      <w:pPr>
        <w:pStyle w:val="NormalWeb"/>
        <w:shd w:val="clear" w:color="auto" w:fill="FFFFFF"/>
        <w:spacing w:before="0" w:beforeAutospacing="0" w:after="0" w:afterAutospacing="0" w:line="276" w:lineRule="auto"/>
        <w:jc w:val="both"/>
        <w:rPr>
          <w:rFonts w:ascii="Arial" w:hAnsi="Arial" w:cs="Arial"/>
          <w:color w:val="000000"/>
          <w:sz w:val="22"/>
          <w:szCs w:val="22"/>
          <w:shd w:val="clear" w:color="auto" w:fill="FFFFFF"/>
        </w:rPr>
      </w:pPr>
    </w:p>
    <w:p w14:paraId="42BB91B1" w14:textId="77777777" w:rsidR="000A3DEA" w:rsidRPr="00FE0CCD" w:rsidRDefault="000A3DEA" w:rsidP="00BE1021">
      <w:pPr>
        <w:pStyle w:val="NormalWeb"/>
        <w:numPr>
          <w:ilvl w:val="0"/>
          <w:numId w:val="16"/>
        </w:numPr>
        <w:shd w:val="clear" w:color="auto" w:fill="FFFFFF"/>
        <w:tabs>
          <w:tab w:val="left" w:pos="900"/>
        </w:tabs>
        <w:spacing w:before="0" w:beforeAutospacing="0" w:after="0" w:afterAutospacing="0" w:line="276" w:lineRule="auto"/>
        <w:jc w:val="both"/>
        <w:rPr>
          <w:rFonts w:ascii="Arial" w:hAnsi="Arial" w:cs="Arial"/>
          <w:color w:val="000000"/>
          <w:sz w:val="22"/>
          <w:szCs w:val="22"/>
          <w:shd w:val="clear" w:color="auto" w:fill="FFFFFF"/>
        </w:rPr>
      </w:pPr>
      <w:r w:rsidRPr="00FE0CCD">
        <w:rPr>
          <w:rFonts w:ascii="Arial" w:hAnsi="Arial" w:cs="Arial"/>
          <w:color w:val="000000"/>
          <w:sz w:val="22"/>
          <w:szCs w:val="22"/>
          <w:shd w:val="clear" w:color="auto" w:fill="FFFFFF"/>
        </w:rPr>
        <w:lastRenderedPageBreak/>
        <w:t>A written request for implementation of the investment project, including also the investor’s commitments to bear all expenses and risks in case the project is not approved</w:t>
      </w:r>
      <w:r w:rsidR="00A965B2" w:rsidRPr="00FE0CCD">
        <w:rPr>
          <w:rFonts w:ascii="Arial" w:hAnsi="Arial" w:cs="Arial"/>
          <w:color w:val="000000"/>
          <w:sz w:val="22"/>
          <w:szCs w:val="22"/>
          <w:shd w:val="clear" w:color="auto" w:fill="FFFFFF"/>
        </w:rPr>
        <w:t>;</w:t>
      </w:r>
    </w:p>
    <w:p w14:paraId="27287582" w14:textId="77777777" w:rsidR="00BE1021" w:rsidRPr="00FE0CCD" w:rsidRDefault="00BE1021" w:rsidP="00BE1021">
      <w:pPr>
        <w:pStyle w:val="NormalWeb"/>
        <w:shd w:val="clear" w:color="auto" w:fill="FFFFFF"/>
        <w:tabs>
          <w:tab w:val="left" w:pos="900"/>
        </w:tabs>
        <w:spacing w:before="0" w:beforeAutospacing="0" w:after="0" w:afterAutospacing="0" w:line="276" w:lineRule="auto"/>
        <w:ind w:left="720"/>
        <w:jc w:val="both"/>
        <w:rPr>
          <w:rFonts w:ascii="Arial" w:hAnsi="Arial" w:cs="Arial"/>
          <w:color w:val="000000"/>
          <w:sz w:val="22"/>
          <w:szCs w:val="22"/>
          <w:shd w:val="clear" w:color="auto" w:fill="FFFFFF"/>
        </w:rPr>
      </w:pPr>
    </w:p>
    <w:p w14:paraId="74214685" w14:textId="77777777" w:rsidR="000A3DEA" w:rsidRPr="00FE0CCD" w:rsidRDefault="000A3DEA" w:rsidP="00BE1021">
      <w:pPr>
        <w:pStyle w:val="NormalWeb"/>
        <w:numPr>
          <w:ilvl w:val="0"/>
          <w:numId w:val="16"/>
        </w:numPr>
        <w:shd w:val="clear" w:color="auto" w:fill="FFFFFF"/>
        <w:tabs>
          <w:tab w:val="left" w:pos="900"/>
        </w:tabs>
        <w:spacing w:before="0" w:beforeAutospacing="0" w:after="0" w:afterAutospacing="0" w:line="276" w:lineRule="auto"/>
        <w:jc w:val="both"/>
        <w:rPr>
          <w:rFonts w:ascii="Arial" w:hAnsi="Arial" w:cs="Arial"/>
          <w:color w:val="000000"/>
          <w:sz w:val="22"/>
          <w:szCs w:val="22"/>
          <w:shd w:val="clear" w:color="auto" w:fill="FFFFFF"/>
        </w:rPr>
      </w:pPr>
      <w:r w:rsidRPr="00FE0CCD">
        <w:rPr>
          <w:rFonts w:ascii="Arial" w:hAnsi="Arial" w:cs="Arial"/>
          <w:color w:val="000000"/>
          <w:sz w:val="22"/>
          <w:szCs w:val="22"/>
          <w:shd w:val="clear" w:color="auto" w:fill="FFFFFF"/>
        </w:rPr>
        <w:t>A document on the legal status of the investor</w:t>
      </w:r>
      <w:r w:rsidR="00A965B2" w:rsidRPr="00FE0CCD">
        <w:rPr>
          <w:rFonts w:ascii="Arial" w:hAnsi="Arial" w:cs="Arial"/>
          <w:color w:val="000000"/>
          <w:sz w:val="22"/>
          <w:szCs w:val="22"/>
          <w:shd w:val="clear" w:color="auto" w:fill="FFFFFF"/>
        </w:rPr>
        <w:t>;</w:t>
      </w:r>
    </w:p>
    <w:p w14:paraId="25D9D22B" w14:textId="77777777" w:rsidR="00BE1021" w:rsidRPr="00FE0CCD" w:rsidRDefault="00BE1021" w:rsidP="00BE1021">
      <w:pPr>
        <w:pStyle w:val="NormalWeb"/>
        <w:shd w:val="clear" w:color="auto" w:fill="FFFFFF"/>
        <w:tabs>
          <w:tab w:val="left" w:pos="900"/>
        </w:tabs>
        <w:spacing w:before="0" w:beforeAutospacing="0" w:after="0" w:afterAutospacing="0" w:line="276" w:lineRule="auto"/>
        <w:ind w:left="720"/>
        <w:jc w:val="both"/>
        <w:rPr>
          <w:rFonts w:ascii="Arial" w:hAnsi="Arial" w:cs="Arial"/>
          <w:color w:val="000000"/>
          <w:sz w:val="22"/>
          <w:szCs w:val="22"/>
          <w:shd w:val="clear" w:color="auto" w:fill="FFFFFF"/>
        </w:rPr>
      </w:pPr>
    </w:p>
    <w:p w14:paraId="34C86022" w14:textId="05A9479D" w:rsidR="000A3DEA" w:rsidRPr="00FE0CCD" w:rsidRDefault="005077F6" w:rsidP="00BE1021">
      <w:pPr>
        <w:pStyle w:val="NormalWeb"/>
        <w:numPr>
          <w:ilvl w:val="0"/>
          <w:numId w:val="16"/>
        </w:numPr>
        <w:shd w:val="clear" w:color="auto" w:fill="FFFFFF"/>
        <w:tabs>
          <w:tab w:val="left" w:pos="900"/>
        </w:tabs>
        <w:spacing w:before="0" w:beforeAutospacing="0" w:after="0" w:afterAutospacing="0" w:line="276" w:lineRule="auto"/>
        <w:jc w:val="both"/>
        <w:rPr>
          <w:rFonts w:ascii="Arial" w:hAnsi="Arial" w:cs="Arial"/>
          <w:color w:val="000000"/>
          <w:sz w:val="22"/>
          <w:szCs w:val="22"/>
          <w:shd w:val="clear" w:color="auto" w:fill="FFFFFF"/>
        </w:rPr>
      </w:pPr>
      <w:r w:rsidRPr="00FE0CCD">
        <w:rPr>
          <w:rFonts w:ascii="Arial" w:hAnsi="Arial" w:cs="Arial"/>
          <w:color w:val="000000"/>
          <w:sz w:val="22"/>
          <w:szCs w:val="22"/>
          <w:shd w:val="clear" w:color="auto" w:fill="FFFFFF"/>
        </w:rPr>
        <w:t>Proof of financial capacity</w:t>
      </w:r>
      <w:r w:rsidR="00A965B2" w:rsidRPr="00FE0CCD">
        <w:rPr>
          <w:rFonts w:ascii="Arial" w:hAnsi="Arial" w:cs="Arial"/>
          <w:color w:val="000000"/>
          <w:sz w:val="22"/>
          <w:szCs w:val="22"/>
          <w:shd w:val="clear" w:color="auto" w:fill="FFFFFF"/>
        </w:rPr>
        <w:t>;</w:t>
      </w:r>
    </w:p>
    <w:p w14:paraId="7F2E1CC4" w14:textId="77777777" w:rsidR="00BE1021" w:rsidRPr="00FE0CCD" w:rsidRDefault="00BE1021" w:rsidP="00BE1021">
      <w:pPr>
        <w:pStyle w:val="NormalWeb"/>
        <w:shd w:val="clear" w:color="auto" w:fill="FFFFFF"/>
        <w:tabs>
          <w:tab w:val="left" w:pos="900"/>
        </w:tabs>
        <w:spacing w:before="0" w:beforeAutospacing="0" w:after="0" w:afterAutospacing="0" w:line="276" w:lineRule="auto"/>
        <w:ind w:left="720"/>
        <w:jc w:val="both"/>
        <w:rPr>
          <w:rFonts w:ascii="Arial" w:hAnsi="Arial" w:cs="Arial"/>
          <w:color w:val="000000"/>
          <w:sz w:val="22"/>
          <w:szCs w:val="22"/>
          <w:shd w:val="clear" w:color="auto" w:fill="FFFFFF"/>
        </w:rPr>
      </w:pPr>
    </w:p>
    <w:p w14:paraId="673FAF9E" w14:textId="18C573BB" w:rsidR="000A3DEA" w:rsidRPr="00FE0CCD" w:rsidRDefault="000A3DEA" w:rsidP="00BE1021">
      <w:pPr>
        <w:pStyle w:val="NormalWeb"/>
        <w:numPr>
          <w:ilvl w:val="0"/>
          <w:numId w:val="16"/>
        </w:numPr>
        <w:shd w:val="clear" w:color="auto" w:fill="FFFFFF"/>
        <w:tabs>
          <w:tab w:val="left" w:pos="900"/>
        </w:tabs>
        <w:spacing w:before="0" w:beforeAutospacing="0" w:after="0" w:afterAutospacing="0" w:line="276" w:lineRule="auto"/>
        <w:jc w:val="both"/>
        <w:rPr>
          <w:rFonts w:ascii="Arial" w:hAnsi="Arial" w:cs="Arial"/>
          <w:color w:val="000000"/>
          <w:sz w:val="22"/>
          <w:szCs w:val="22"/>
          <w:shd w:val="clear" w:color="auto" w:fill="FFFFFF"/>
        </w:rPr>
      </w:pPr>
      <w:r w:rsidRPr="00FE0CCD">
        <w:rPr>
          <w:rFonts w:ascii="Arial" w:hAnsi="Arial" w:cs="Arial"/>
          <w:color w:val="000000"/>
          <w:sz w:val="22"/>
          <w:szCs w:val="22"/>
          <w:shd w:val="clear" w:color="auto" w:fill="FFFFFF"/>
        </w:rPr>
        <w:t>The investment project proposal, covering the following principal contents: the investor or form of investor selection; investment objectives and scope, investment capital and capital raising plan, and project implementation site, duration and schedule; information on the actual state of use of land in the project implementation site and proposals for land use demand (if any), labor demand, investment incentives, the project’s socio-economic impacts and benefits; and preliminary assessment of environmental impacts (if any) in accordance with the law on environmental protection</w:t>
      </w:r>
      <w:r w:rsidR="00A965B2" w:rsidRPr="00FE0CCD">
        <w:rPr>
          <w:rFonts w:ascii="Arial" w:hAnsi="Arial" w:cs="Arial"/>
          <w:color w:val="000000"/>
          <w:sz w:val="22"/>
          <w:szCs w:val="22"/>
          <w:shd w:val="clear" w:color="auto" w:fill="FFFFFF"/>
        </w:rPr>
        <w:t xml:space="preserve">. </w:t>
      </w:r>
      <w:r w:rsidRPr="00FE0CCD">
        <w:rPr>
          <w:rFonts w:ascii="Arial" w:hAnsi="Arial" w:cs="Arial"/>
          <w:color w:val="000000"/>
          <w:sz w:val="22"/>
          <w:szCs w:val="22"/>
          <w:shd w:val="clear" w:color="auto" w:fill="FFFFFF"/>
        </w:rPr>
        <w:t>In case the construction law requires the formulation of a prefeasibility study report, the investor may submit a prefeasibility study report as replacement for the investment project proposal</w:t>
      </w:r>
      <w:r w:rsidR="00A965B2" w:rsidRPr="00FE0CCD">
        <w:rPr>
          <w:rFonts w:ascii="Arial" w:hAnsi="Arial" w:cs="Arial"/>
          <w:color w:val="000000"/>
          <w:sz w:val="22"/>
          <w:szCs w:val="22"/>
          <w:shd w:val="clear" w:color="auto" w:fill="FFFFFF"/>
        </w:rPr>
        <w:t>;</w:t>
      </w:r>
    </w:p>
    <w:p w14:paraId="0E8EDA1E" w14:textId="77777777" w:rsidR="00BE1021" w:rsidRPr="00FE0CCD" w:rsidRDefault="00BE1021" w:rsidP="00BE1021">
      <w:pPr>
        <w:pStyle w:val="NormalWeb"/>
        <w:shd w:val="clear" w:color="auto" w:fill="FFFFFF"/>
        <w:tabs>
          <w:tab w:val="left" w:pos="900"/>
        </w:tabs>
        <w:spacing w:before="0" w:beforeAutospacing="0" w:after="0" w:afterAutospacing="0" w:line="276" w:lineRule="auto"/>
        <w:ind w:left="720"/>
        <w:jc w:val="both"/>
        <w:rPr>
          <w:rFonts w:ascii="Arial" w:hAnsi="Arial" w:cs="Arial"/>
          <w:color w:val="000000"/>
          <w:sz w:val="22"/>
          <w:szCs w:val="22"/>
          <w:shd w:val="clear" w:color="auto" w:fill="FFFFFF"/>
        </w:rPr>
      </w:pPr>
    </w:p>
    <w:p w14:paraId="422C9EDF" w14:textId="1380F086" w:rsidR="000A3DEA" w:rsidRPr="00FE0CCD" w:rsidRDefault="000A3DEA" w:rsidP="00BE1021">
      <w:pPr>
        <w:pStyle w:val="NormalWeb"/>
        <w:numPr>
          <w:ilvl w:val="0"/>
          <w:numId w:val="16"/>
        </w:numPr>
        <w:shd w:val="clear" w:color="auto" w:fill="FFFFFF"/>
        <w:tabs>
          <w:tab w:val="left" w:pos="900"/>
        </w:tabs>
        <w:spacing w:before="0" w:beforeAutospacing="0" w:after="0" w:afterAutospacing="0" w:line="276" w:lineRule="auto"/>
        <w:jc w:val="both"/>
        <w:rPr>
          <w:rFonts w:ascii="Arial" w:hAnsi="Arial" w:cs="Arial"/>
          <w:color w:val="000000"/>
          <w:sz w:val="22"/>
          <w:szCs w:val="22"/>
          <w:shd w:val="clear" w:color="auto" w:fill="FFFFFF"/>
        </w:rPr>
      </w:pPr>
      <w:r w:rsidRPr="00FE0CCD">
        <w:rPr>
          <w:rFonts w:ascii="Arial" w:hAnsi="Arial" w:cs="Arial"/>
          <w:color w:val="000000"/>
          <w:sz w:val="22"/>
          <w:szCs w:val="22"/>
          <w:shd w:val="clear" w:color="auto" w:fill="FFFFFF"/>
        </w:rPr>
        <w:t>In case the investor does not request the State to allocate or lease land or to permit change of land use purposes, the investor shall submit a copy of the paper on land use rights or another document certifying that the investor has the right to use the project implementation site</w:t>
      </w:r>
      <w:r w:rsidR="00A965B2" w:rsidRPr="00FE0CCD">
        <w:rPr>
          <w:rFonts w:ascii="Arial" w:hAnsi="Arial" w:cs="Arial"/>
          <w:color w:val="000000"/>
          <w:sz w:val="22"/>
          <w:szCs w:val="22"/>
          <w:shd w:val="clear" w:color="auto" w:fill="FFFFFF"/>
        </w:rPr>
        <w:t>;</w:t>
      </w:r>
    </w:p>
    <w:p w14:paraId="080FB1FE" w14:textId="77777777" w:rsidR="00BE1021" w:rsidRPr="00FE0CCD" w:rsidRDefault="00BE1021" w:rsidP="00BE1021">
      <w:pPr>
        <w:pStyle w:val="NormalWeb"/>
        <w:shd w:val="clear" w:color="auto" w:fill="FFFFFF"/>
        <w:tabs>
          <w:tab w:val="left" w:pos="900"/>
        </w:tabs>
        <w:spacing w:before="0" w:beforeAutospacing="0" w:after="0" w:afterAutospacing="0" w:line="276" w:lineRule="auto"/>
        <w:ind w:left="720"/>
        <w:jc w:val="both"/>
        <w:rPr>
          <w:rFonts w:ascii="Arial" w:hAnsi="Arial" w:cs="Arial"/>
          <w:color w:val="000000"/>
          <w:sz w:val="22"/>
          <w:szCs w:val="22"/>
          <w:shd w:val="clear" w:color="auto" w:fill="FFFFFF"/>
        </w:rPr>
      </w:pPr>
    </w:p>
    <w:p w14:paraId="0CA63945" w14:textId="79B1AC35" w:rsidR="000A3DEA" w:rsidRPr="00FE0CCD" w:rsidRDefault="000A3DEA" w:rsidP="00BE1021">
      <w:pPr>
        <w:pStyle w:val="NormalWeb"/>
        <w:numPr>
          <w:ilvl w:val="0"/>
          <w:numId w:val="16"/>
        </w:numPr>
        <w:shd w:val="clear" w:color="auto" w:fill="FFFFFF"/>
        <w:tabs>
          <w:tab w:val="left" w:pos="900"/>
        </w:tabs>
        <w:spacing w:before="0" w:beforeAutospacing="0" w:after="0" w:afterAutospacing="0" w:line="276" w:lineRule="auto"/>
        <w:jc w:val="both"/>
        <w:rPr>
          <w:rFonts w:ascii="Arial" w:hAnsi="Arial" w:cs="Arial"/>
          <w:color w:val="000000"/>
          <w:sz w:val="22"/>
          <w:szCs w:val="22"/>
          <w:shd w:val="clear" w:color="auto" w:fill="FFFFFF"/>
        </w:rPr>
      </w:pPr>
      <w:r w:rsidRPr="00FE0CCD">
        <w:rPr>
          <w:rFonts w:ascii="Arial" w:hAnsi="Arial" w:cs="Arial"/>
          <w:color w:val="000000"/>
          <w:sz w:val="22"/>
          <w:szCs w:val="22"/>
          <w:shd w:val="clear" w:color="auto" w:fill="FFFFFF"/>
        </w:rPr>
        <w:t>Explanations about the technology used in the investment project</w:t>
      </w:r>
      <w:r w:rsidR="00A965B2" w:rsidRPr="00FE0CCD">
        <w:rPr>
          <w:rFonts w:ascii="Arial" w:hAnsi="Arial" w:cs="Arial"/>
          <w:color w:val="000000"/>
          <w:sz w:val="22"/>
          <w:szCs w:val="22"/>
          <w:shd w:val="clear" w:color="auto" w:fill="FFFFFF"/>
        </w:rPr>
        <w:t>;</w:t>
      </w:r>
    </w:p>
    <w:p w14:paraId="7D9152AB" w14:textId="77777777" w:rsidR="00BE1021" w:rsidRPr="00FE0CCD" w:rsidRDefault="00BE1021" w:rsidP="00BE1021">
      <w:pPr>
        <w:pStyle w:val="NormalWeb"/>
        <w:shd w:val="clear" w:color="auto" w:fill="FFFFFF"/>
        <w:tabs>
          <w:tab w:val="left" w:pos="900"/>
        </w:tabs>
        <w:spacing w:before="0" w:beforeAutospacing="0" w:after="0" w:afterAutospacing="0" w:line="276" w:lineRule="auto"/>
        <w:ind w:left="720"/>
        <w:jc w:val="both"/>
        <w:rPr>
          <w:rFonts w:ascii="Arial" w:hAnsi="Arial" w:cs="Arial"/>
          <w:color w:val="000000"/>
          <w:sz w:val="22"/>
          <w:szCs w:val="22"/>
          <w:shd w:val="clear" w:color="auto" w:fill="FFFFFF"/>
        </w:rPr>
      </w:pPr>
    </w:p>
    <w:p w14:paraId="2D15C073" w14:textId="46F1CC85" w:rsidR="000A3DEA" w:rsidRPr="00FE0CCD" w:rsidRDefault="000A3DEA" w:rsidP="00BE1021">
      <w:pPr>
        <w:pStyle w:val="NormalWeb"/>
        <w:numPr>
          <w:ilvl w:val="0"/>
          <w:numId w:val="16"/>
        </w:numPr>
        <w:shd w:val="clear" w:color="auto" w:fill="FFFFFF"/>
        <w:tabs>
          <w:tab w:val="left" w:pos="900"/>
        </w:tabs>
        <w:spacing w:before="0" w:beforeAutospacing="0" w:after="0" w:afterAutospacing="0" w:line="276" w:lineRule="auto"/>
        <w:jc w:val="both"/>
        <w:rPr>
          <w:rFonts w:ascii="Arial" w:hAnsi="Arial" w:cs="Arial"/>
          <w:color w:val="000000"/>
          <w:sz w:val="22"/>
          <w:szCs w:val="22"/>
          <w:shd w:val="clear" w:color="auto" w:fill="FFFFFF"/>
        </w:rPr>
      </w:pPr>
      <w:r w:rsidRPr="00FE0CCD">
        <w:rPr>
          <w:rFonts w:ascii="Arial" w:hAnsi="Arial" w:cs="Arial"/>
          <w:color w:val="000000"/>
          <w:sz w:val="22"/>
          <w:szCs w:val="22"/>
          <w:shd w:val="clear" w:color="auto" w:fill="FFFFFF"/>
        </w:rPr>
        <w:t>The BCC, for investment projects in the form of BCC</w:t>
      </w:r>
      <w:r w:rsidR="00A965B2" w:rsidRPr="00FE0CCD">
        <w:rPr>
          <w:rFonts w:ascii="Arial" w:hAnsi="Arial" w:cs="Arial"/>
          <w:color w:val="000000"/>
          <w:sz w:val="22"/>
          <w:szCs w:val="22"/>
          <w:shd w:val="clear" w:color="auto" w:fill="FFFFFF"/>
        </w:rPr>
        <w:t>;</w:t>
      </w:r>
    </w:p>
    <w:p w14:paraId="44704DDC" w14:textId="77777777" w:rsidR="00BE1021" w:rsidRPr="00FE0CCD" w:rsidRDefault="00BE1021" w:rsidP="00BE1021">
      <w:pPr>
        <w:pStyle w:val="NormalWeb"/>
        <w:shd w:val="clear" w:color="auto" w:fill="FFFFFF"/>
        <w:tabs>
          <w:tab w:val="left" w:pos="900"/>
        </w:tabs>
        <w:spacing w:before="0" w:beforeAutospacing="0" w:after="0" w:afterAutospacing="0" w:line="276" w:lineRule="auto"/>
        <w:ind w:left="720"/>
        <w:jc w:val="both"/>
        <w:rPr>
          <w:rFonts w:ascii="Arial" w:hAnsi="Arial" w:cs="Arial"/>
          <w:color w:val="000000"/>
          <w:sz w:val="22"/>
          <w:szCs w:val="22"/>
          <w:shd w:val="clear" w:color="auto" w:fill="FFFFFF"/>
        </w:rPr>
      </w:pPr>
    </w:p>
    <w:p w14:paraId="5F79F8AF" w14:textId="6DB8F3FA" w:rsidR="00A965B2" w:rsidRPr="00FE0CCD" w:rsidRDefault="000A3DEA" w:rsidP="00BE1021">
      <w:pPr>
        <w:pStyle w:val="NormalWeb"/>
        <w:numPr>
          <w:ilvl w:val="0"/>
          <w:numId w:val="16"/>
        </w:numPr>
        <w:shd w:val="clear" w:color="auto" w:fill="FFFFFF"/>
        <w:tabs>
          <w:tab w:val="left" w:pos="900"/>
        </w:tabs>
        <w:spacing w:before="0" w:beforeAutospacing="0" w:after="0" w:afterAutospacing="0" w:line="276" w:lineRule="auto"/>
        <w:jc w:val="both"/>
        <w:rPr>
          <w:rFonts w:ascii="Arial" w:hAnsi="Arial" w:cs="Arial"/>
          <w:color w:val="000000"/>
          <w:sz w:val="22"/>
          <w:szCs w:val="22"/>
          <w:shd w:val="clear" w:color="auto" w:fill="FFFFFF"/>
        </w:rPr>
      </w:pPr>
      <w:r w:rsidRPr="00FE0CCD">
        <w:rPr>
          <w:rFonts w:ascii="Arial" w:hAnsi="Arial" w:cs="Arial"/>
          <w:color w:val="000000"/>
          <w:sz w:val="22"/>
          <w:szCs w:val="22"/>
          <w:shd w:val="clear" w:color="auto" w:fill="FFFFFF"/>
        </w:rPr>
        <w:t>Other documents related to the investment project, requirements on conditions and capacity of the investor in accordance with law (if any)</w:t>
      </w:r>
      <w:r w:rsidR="00A965B2" w:rsidRPr="00FE0CCD">
        <w:rPr>
          <w:rFonts w:ascii="Arial" w:hAnsi="Arial" w:cs="Arial"/>
          <w:color w:val="000000"/>
          <w:sz w:val="22"/>
          <w:szCs w:val="22"/>
          <w:shd w:val="clear" w:color="auto" w:fill="FFFFFF"/>
        </w:rPr>
        <w:t>.</w:t>
      </w:r>
    </w:p>
    <w:p w14:paraId="17894F72" w14:textId="77777777" w:rsidR="000B3C3F" w:rsidRPr="00FE0CCD" w:rsidRDefault="000B3C3F" w:rsidP="000B3C3F">
      <w:pPr>
        <w:pStyle w:val="NormalWeb"/>
        <w:shd w:val="clear" w:color="auto" w:fill="FFFFFF"/>
        <w:tabs>
          <w:tab w:val="left" w:pos="900"/>
        </w:tabs>
        <w:spacing w:before="0" w:beforeAutospacing="0" w:after="0" w:afterAutospacing="0" w:line="276" w:lineRule="auto"/>
        <w:jc w:val="both"/>
        <w:rPr>
          <w:rFonts w:ascii="Arial" w:hAnsi="Arial" w:cs="Arial"/>
          <w:color w:val="000000"/>
          <w:sz w:val="22"/>
          <w:szCs w:val="22"/>
          <w:shd w:val="clear" w:color="auto" w:fill="FFFFFF"/>
        </w:rPr>
      </w:pPr>
    </w:p>
    <w:p w14:paraId="1D3D1417" w14:textId="62F48B19" w:rsidR="000B3C3F" w:rsidRPr="00EB2783" w:rsidRDefault="000B3C3F" w:rsidP="000B3C3F">
      <w:pPr>
        <w:pStyle w:val="NormalWeb"/>
        <w:shd w:val="clear" w:color="auto" w:fill="FFFFFF"/>
        <w:tabs>
          <w:tab w:val="left" w:pos="900"/>
        </w:tabs>
        <w:spacing w:before="0" w:beforeAutospacing="0" w:after="0" w:afterAutospacing="0" w:line="276" w:lineRule="auto"/>
        <w:jc w:val="both"/>
        <w:rPr>
          <w:rFonts w:ascii="Arial" w:hAnsi="Arial" w:cs="Arial"/>
          <w:b/>
          <w:bCs/>
          <w:color w:val="000000"/>
          <w:sz w:val="22"/>
          <w:szCs w:val="22"/>
          <w:shd w:val="clear" w:color="auto" w:fill="FFFFFF"/>
        </w:rPr>
      </w:pPr>
      <w:r w:rsidRPr="00EB2783">
        <w:rPr>
          <w:rFonts w:ascii="Arial" w:hAnsi="Arial" w:cs="Arial"/>
          <w:b/>
          <w:bCs/>
          <w:color w:val="000000"/>
          <w:sz w:val="22"/>
          <w:szCs w:val="22"/>
          <w:shd w:val="clear" w:color="auto" w:fill="FFFFFF"/>
        </w:rPr>
        <w:t>Step 2: Submission and Procedural Timeline</w:t>
      </w:r>
    </w:p>
    <w:p w14:paraId="4E46A1CB" w14:textId="77777777" w:rsidR="000B3C3F" w:rsidRPr="00FE0CCD" w:rsidRDefault="000B3C3F" w:rsidP="000B3C3F">
      <w:pPr>
        <w:pStyle w:val="NormalWeb"/>
        <w:shd w:val="clear" w:color="auto" w:fill="FFFFFF"/>
        <w:tabs>
          <w:tab w:val="left" w:pos="900"/>
        </w:tabs>
        <w:spacing w:before="0" w:beforeAutospacing="0" w:after="0" w:afterAutospacing="0" w:line="276" w:lineRule="auto"/>
        <w:jc w:val="both"/>
        <w:rPr>
          <w:rFonts w:ascii="Arial" w:hAnsi="Arial" w:cs="Arial"/>
          <w:color w:val="000000"/>
          <w:sz w:val="22"/>
          <w:szCs w:val="22"/>
          <w:shd w:val="clear" w:color="auto" w:fill="FFFFFF"/>
        </w:rPr>
      </w:pPr>
    </w:p>
    <w:p w14:paraId="3B15E993" w14:textId="77EF4E2E" w:rsidR="00A965B2" w:rsidRDefault="00077799" w:rsidP="00077799">
      <w:pPr>
        <w:pStyle w:val="NormalWeb"/>
        <w:shd w:val="clear" w:color="auto" w:fill="FFFFFF"/>
        <w:tabs>
          <w:tab w:val="left" w:pos="900"/>
        </w:tabs>
        <w:spacing w:before="0" w:beforeAutospacing="0" w:after="0" w:afterAutospacing="0" w:line="276" w:lineRule="auto"/>
        <w:jc w:val="both"/>
        <w:rPr>
          <w:rFonts w:ascii="Arial" w:hAnsi="Arial" w:cs="Arial"/>
          <w:color w:val="000000"/>
          <w:sz w:val="22"/>
          <w:szCs w:val="22"/>
          <w:shd w:val="clear" w:color="auto" w:fill="FFFFFF"/>
        </w:rPr>
      </w:pPr>
      <w:r w:rsidRPr="00FE0CCD">
        <w:rPr>
          <w:rFonts w:ascii="Arial" w:hAnsi="Arial" w:cs="Arial"/>
          <w:color w:val="000000"/>
          <w:sz w:val="22"/>
          <w:szCs w:val="22"/>
          <w:shd w:val="clear" w:color="auto" w:fill="FFFFFF"/>
        </w:rPr>
        <w:t>The investor submits the complete dossier to the Investment Registration Agency (IRA) of the province where the project is located. Typically, this is the provincial Department of Planning and Investment (DPI). The subsequent timeline, outlined in Article 36 of the LOI 2020, is as follows</w:t>
      </w:r>
      <w:r w:rsidR="00A965B2" w:rsidRPr="00FE0CCD">
        <w:rPr>
          <w:rStyle w:val="FootnoteReference"/>
          <w:rFonts w:ascii="Arial" w:hAnsi="Arial" w:cs="Arial"/>
          <w:color w:val="000000"/>
          <w:sz w:val="22"/>
          <w:szCs w:val="22"/>
        </w:rPr>
        <w:footnoteReference w:id="4"/>
      </w:r>
      <w:r w:rsidR="00DD7461" w:rsidRPr="00FE0CCD">
        <w:rPr>
          <w:rFonts w:ascii="Arial" w:hAnsi="Arial" w:cs="Arial"/>
          <w:color w:val="000000"/>
          <w:sz w:val="22"/>
          <w:szCs w:val="22"/>
          <w:shd w:val="clear" w:color="auto" w:fill="FFFFFF"/>
        </w:rPr>
        <w:t xml:space="preserve"> </w:t>
      </w:r>
      <w:r w:rsidR="00A965B2" w:rsidRPr="00FE0CCD">
        <w:rPr>
          <w:rStyle w:val="FootnoteReference"/>
          <w:rFonts w:ascii="Arial" w:hAnsi="Arial" w:cs="Arial"/>
          <w:color w:val="000000"/>
          <w:sz w:val="22"/>
          <w:szCs w:val="22"/>
          <w:shd w:val="clear" w:color="auto" w:fill="FFFFFF"/>
        </w:rPr>
        <w:footnoteReference w:id="5"/>
      </w:r>
      <w:r w:rsidR="00A965B2" w:rsidRPr="00FE0CCD">
        <w:rPr>
          <w:rFonts w:ascii="Arial" w:hAnsi="Arial" w:cs="Arial"/>
          <w:color w:val="000000"/>
          <w:sz w:val="22"/>
          <w:szCs w:val="22"/>
          <w:shd w:val="clear" w:color="auto" w:fill="FFFFFF"/>
        </w:rPr>
        <w:t>:</w:t>
      </w:r>
    </w:p>
    <w:p w14:paraId="3B6E76AB" w14:textId="77777777" w:rsidR="005C7E69" w:rsidRPr="00FE0CCD" w:rsidRDefault="005C7E69" w:rsidP="00077799">
      <w:pPr>
        <w:pStyle w:val="NormalWeb"/>
        <w:shd w:val="clear" w:color="auto" w:fill="FFFFFF"/>
        <w:tabs>
          <w:tab w:val="left" w:pos="900"/>
        </w:tabs>
        <w:spacing w:before="0" w:beforeAutospacing="0" w:after="0" w:afterAutospacing="0" w:line="276" w:lineRule="auto"/>
        <w:jc w:val="both"/>
        <w:rPr>
          <w:rFonts w:ascii="Arial" w:hAnsi="Arial" w:cs="Arial"/>
          <w:color w:val="000000"/>
          <w:sz w:val="22"/>
          <w:szCs w:val="22"/>
        </w:rPr>
      </w:pPr>
    </w:p>
    <w:p w14:paraId="52AE8365" w14:textId="01EB26CC" w:rsidR="00A965B2" w:rsidRPr="005C7E69" w:rsidRDefault="004C5ED2" w:rsidP="00BE1021">
      <w:pPr>
        <w:numPr>
          <w:ilvl w:val="0"/>
          <w:numId w:val="5"/>
        </w:numPr>
        <w:shd w:val="clear" w:color="auto" w:fill="FFFFFF"/>
        <w:tabs>
          <w:tab w:val="left" w:pos="900"/>
        </w:tabs>
        <w:spacing w:after="0" w:line="276" w:lineRule="auto"/>
        <w:ind w:left="900" w:hanging="540"/>
        <w:jc w:val="both"/>
        <w:rPr>
          <w:rFonts w:ascii="Arial" w:eastAsia="Times New Roman" w:hAnsi="Arial" w:cs="Arial"/>
          <w:color w:val="000000"/>
        </w:rPr>
      </w:pPr>
      <w:r w:rsidRPr="00FE0CCD">
        <w:rPr>
          <w:rFonts w:ascii="Arial" w:eastAsia="Times New Roman" w:hAnsi="Arial" w:cs="Arial"/>
          <w:color w:val="000000"/>
        </w:rPr>
        <w:lastRenderedPageBreak/>
        <w:t>Within 35 days after receiving a dossier, the investment registration agency shall notify dossier-processing results to the concerned investor</w:t>
      </w:r>
      <w:r w:rsidR="00A965B2" w:rsidRPr="00FE0CCD">
        <w:rPr>
          <w:rFonts w:ascii="Arial" w:eastAsia="Times New Roman" w:hAnsi="Arial" w:cs="Arial"/>
          <w:color w:val="000000"/>
          <w:lang w:val="vi-VN"/>
        </w:rPr>
        <w:t>.</w:t>
      </w:r>
    </w:p>
    <w:p w14:paraId="7D2D97B6" w14:textId="77777777" w:rsidR="005C7E69" w:rsidRPr="00FE0CCD" w:rsidRDefault="005C7E69" w:rsidP="005C7E69">
      <w:pPr>
        <w:shd w:val="clear" w:color="auto" w:fill="FFFFFF"/>
        <w:tabs>
          <w:tab w:val="left" w:pos="900"/>
        </w:tabs>
        <w:spacing w:after="0" w:line="276" w:lineRule="auto"/>
        <w:ind w:left="900"/>
        <w:jc w:val="both"/>
        <w:rPr>
          <w:rFonts w:ascii="Arial" w:eastAsia="Times New Roman" w:hAnsi="Arial" w:cs="Arial"/>
          <w:color w:val="000000"/>
        </w:rPr>
      </w:pPr>
    </w:p>
    <w:p w14:paraId="0BF38F1D" w14:textId="0101F5CC" w:rsidR="00A965B2" w:rsidRPr="005C7E69" w:rsidRDefault="004C5ED2" w:rsidP="00BE1021">
      <w:pPr>
        <w:numPr>
          <w:ilvl w:val="0"/>
          <w:numId w:val="5"/>
        </w:numPr>
        <w:shd w:val="clear" w:color="auto" w:fill="FFFFFF"/>
        <w:tabs>
          <w:tab w:val="left" w:pos="900"/>
        </w:tabs>
        <w:spacing w:after="0" w:line="276" w:lineRule="auto"/>
        <w:ind w:left="900" w:hanging="540"/>
        <w:jc w:val="both"/>
        <w:rPr>
          <w:rFonts w:ascii="Arial" w:eastAsia="Times New Roman" w:hAnsi="Arial" w:cs="Arial"/>
          <w:color w:val="000000"/>
        </w:rPr>
      </w:pPr>
      <w:r w:rsidRPr="00FE0CCD">
        <w:rPr>
          <w:rFonts w:ascii="Arial" w:eastAsia="Times New Roman" w:hAnsi="Arial" w:cs="Arial"/>
          <w:color w:val="000000"/>
        </w:rPr>
        <w:t xml:space="preserve">Within 3 working days after receiving a </w:t>
      </w:r>
      <w:r w:rsidR="006A7F24" w:rsidRPr="00FE0CCD">
        <w:rPr>
          <w:rFonts w:ascii="Arial" w:eastAsia="Times New Roman" w:hAnsi="Arial" w:cs="Arial"/>
          <w:color w:val="000000"/>
        </w:rPr>
        <w:t>valid</w:t>
      </w:r>
      <w:r w:rsidRPr="00FE0CCD">
        <w:rPr>
          <w:rFonts w:ascii="Arial" w:eastAsia="Times New Roman" w:hAnsi="Arial" w:cs="Arial"/>
          <w:color w:val="000000"/>
        </w:rPr>
        <w:t xml:space="preserve"> dossier, the investment registration agency shall send the dossier to related state agencies for appraisal</w:t>
      </w:r>
      <w:r w:rsidR="00A965B2" w:rsidRPr="00FE0CCD">
        <w:rPr>
          <w:rFonts w:ascii="Arial" w:eastAsia="Times New Roman" w:hAnsi="Arial" w:cs="Arial"/>
          <w:color w:val="000000"/>
        </w:rPr>
        <w:t>.</w:t>
      </w:r>
      <w:r w:rsidR="00A965B2" w:rsidRPr="00FE0CCD">
        <w:rPr>
          <w:rFonts w:ascii="Arial" w:eastAsia="Times New Roman" w:hAnsi="Arial" w:cs="Arial"/>
          <w:color w:val="000000"/>
          <w:lang w:val="vi-VN"/>
        </w:rPr>
        <w:t xml:space="preserve"> </w:t>
      </w:r>
    </w:p>
    <w:p w14:paraId="0CCCBF78" w14:textId="77777777" w:rsidR="005C7E69" w:rsidRPr="00FE0CCD" w:rsidRDefault="005C7E69" w:rsidP="005C7E69">
      <w:pPr>
        <w:shd w:val="clear" w:color="auto" w:fill="FFFFFF"/>
        <w:tabs>
          <w:tab w:val="left" w:pos="900"/>
        </w:tabs>
        <w:spacing w:after="0" w:line="276" w:lineRule="auto"/>
        <w:ind w:left="900"/>
        <w:jc w:val="both"/>
        <w:rPr>
          <w:rFonts w:ascii="Arial" w:eastAsia="Times New Roman" w:hAnsi="Arial" w:cs="Arial"/>
          <w:color w:val="000000"/>
        </w:rPr>
      </w:pPr>
    </w:p>
    <w:p w14:paraId="19C601B6" w14:textId="06606361" w:rsidR="00A965B2" w:rsidRPr="005C7E69" w:rsidRDefault="004C5ED2" w:rsidP="00BE1021">
      <w:pPr>
        <w:numPr>
          <w:ilvl w:val="0"/>
          <w:numId w:val="5"/>
        </w:numPr>
        <w:shd w:val="clear" w:color="auto" w:fill="FFFFFF"/>
        <w:tabs>
          <w:tab w:val="left" w:pos="900"/>
        </w:tabs>
        <w:spacing w:after="0" w:line="276" w:lineRule="auto"/>
        <w:ind w:left="900" w:hanging="540"/>
        <w:jc w:val="both"/>
        <w:rPr>
          <w:rFonts w:ascii="Arial" w:eastAsia="Times New Roman" w:hAnsi="Arial" w:cs="Arial"/>
          <w:color w:val="000000"/>
        </w:rPr>
      </w:pPr>
      <w:r w:rsidRPr="00FE0CCD">
        <w:rPr>
          <w:rFonts w:ascii="Arial" w:eastAsia="Times New Roman" w:hAnsi="Arial" w:cs="Arial"/>
          <w:color w:val="000000"/>
        </w:rPr>
        <w:t>Within 15 days after receiving the dossier, the consulted agencies shall send their appraisal opinions on the matters falling within the scope of their state management to the investment registration agency</w:t>
      </w:r>
      <w:r w:rsidR="00A965B2" w:rsidRPr="00FE0CCD">
        <w:rPr>
          <w:rFonts w:ascii="Arial" w:eastAsia="Times New Roman" w:hAnsi="Arial" w:cs="Arial"/>
          <w:color w:val="000000"/>
          <w:lang w:val="vi-VN"/>
        </w:rPr>
        <w:t>.</w:t>
      </w:r>
    </w:p>
    <w:p w14:paraId="3A362B3D" w14:textId="77777777" w:rsidR="005C7E69" w:rsidRPr="00FE0CCD" w:rsidRDefault="005C7E69" w:rsidP="005C7E69">
      <w:pPr>
        <w:shd w:val="clear" w:color="auto" w:fill="FFFFFF"/>
        <w:tabs>
          <w:tab w:val="left" w:pos="900"/>
        </w:tabs>
        <w:spacing w:after="0" w:line="276" w:lineRule="auto"/>
        <w:ind w:left="900"/>
        <w:jc w:val="both"/>
        <w:rPr>
          <w:rFonts w:ascii="Arial" w:eastAsia="Times New Roman" w:hAnsi="Arial" w:cs="Arial"/>
          <w:color w:val="000000"/>
        </w:rPr>
      </w:pPr>
    </w:p>
    <w:p w14:paraId="5C3C631B" w14:textId="1A39B14A" w:rsidR="00A965B2" w:rsidRPr="005C7E69" w:rsidRDefault="004C5ED2" w:rsidP="00BE1021">
      <w:pPr>
        <w:numPr>
          <w:ilvl w:val="0"/>
          <w:numId w:val="5"/>
        </w:numPr>
        <w:shd w:val="clear" w:color="auto" w:fill="FFFFFF"/>
        <w:tabs>
          <w:tab w:val="left" w:pos="900"/>
        </w:tabs>
        <w:spacing w:after="0" w:line="276" w:lineRule="auto"/>
        <w:ind w:left="900" w:hanging="540"/>
        <w:jc w:val="both"/>
        <w:rPr>
          <w:rFonts w:ascii="Arial" w:eastAsia="Times New Roman" w:hAnsi="Arial" w:cs="Arial"/>
          <w:color w:val="000000"/>
        </w:rPr>
      </w:pPr>
      <w:r w:rsidRPr="00FE0CCD">
        <w:rPr>
          <w:rFonts w:ascii="Arial" w:eastAsia="Times New Roman" w:hAnsi="Arial" w:cs="Arial"/>
          <w:color w:val="000000"/>
        </w:rPr>
        <w:t xml:space="preserve">Within 25 days after receiving the dossier, the investment registration agency shall make an appraisal report covering contents prescribed by the law for submission to the </w:t>
      </w:r>
      <w:r w:rsidR="005C7E69">
        <w:rPr>
          <w:rFonts w:ascii="Arial" w:eastAsia="Times New Roman" w:hAnsi="Arial" w:cs="Arial"/>
          <w:color w:val="000000"/>
        </w:rPr>
        <w:t>PPC</w:t>
      </w:r>
      <w:r w:rsidR="00A965B2" w:rsidRPr="00FE0CCD">
        <w:rPr>
          <w:rFonts w:ascii="Arial" w:eastAsia="Times New Roman" w:hAnsi="Arial" w:cs="Arial"/>
          <w:color w:val="000000"/>
          <w:lang w:val="vi-VN"/>
        </w:rPr>
        <w:t>.</w:t>
      </w:r>
    </w:p>
    <w:p w14:paraId="7A3EDA9D" w14:textId="77777777" w:rsidR="005C7E69" w:rsidRPr="00FE0CCD" w:rsidRDefault="005C7E69" w:rsidP="005C7E69">
      <w:pPr>
        <w:shd w:val="clear" w:color="auto" w:fill="FFFFFF"/>
        <w:tabs>
          <w:tab w:val="left" w:pos="900"/>
        </w:tabs>
        <w:spacing w:after="0" w:line="276" w:lineRule="auto"/>
        <w:ind w:left="900"/>
        <w:jc w:val="both"/>
        <w:rPr>
          <w:rFonts w:ascii="Arial" w:eastAsia="Times New Roman" w:hAnsi="Arial" w:cs="Arial"/>
          <w:color w:val="000000"/>
        </w:rPr>
      </w:pPr>
    </w:p>
    <w:p w14:paraId="13B2E14C" w14:textId="0DB41A96" w:rsidR="00A965B2" w:rsidRPr="005C7E69" w:rsidRDefault="004C5ED2" w:rsidP="00BE1021">
      <w:pPr>
        <w:numPr>
          <w:ilvl w:val="0"/>
          <w:numId w:val="5"/>
        </w:numPr>
        <w:shd w:val="clear" w:color="auto" w:fill="FFFFFF"/>
        <w:tabs>
          <w:tab w:val="left" w:pos="900"/>
        </w:tabs>
        <w:spacing w:after="0" w:line="276" w:lineRule="auto"/>
        <w:ind w:left="900" w:hanging="540"/>
        <w:jc w:val="both"/>
        <w:rPr>
          <w:rFonts w:ascii="Arial" w:eastAsia="Times New Roman" w:hAnsi="Arial" w:cs="Arial"/>
          <w:color w:val="000000"/>
        </w:rPr>
      </w:pPr>
      <w:r w:rsidRPr="00FE0CCD">
        <w:rPr>
          <w:rFonts w:ascii="Arial" w:eastAsia="Times New Roman" w:hAnsi="Arial" w:cs="Arial"/>
          <w:color w:val="000000"/>
        </w:rPr>
        <w:t xml:space="preserve">Within 7 working days after receiving the dossier and appraisal report, the </w:t>
      </w:r>
      <w:r w:rsidR="005C7E69">
        <w:rPr>
          <w:rFonts w:ascii="Arial" w:eastAsia="Times New Roman" w:hAnsi="Arial" w:cs="Arial"/>
          <w:color w:val="000000"/>
        </w:rPr>
        <w:t>PPC</w:t>
      </w:r>
      <w:r w:rsidRPr="00FE0CCD">
        <w:rPr>
          <w:rFonts w:ascii="Arial" w:eastAsia="Times New Roman" w:hAnsi="Arial" w:cs="Arial"/>
          <w:color w:val="000000"/>
        </w:rPr>
        <w:t xml:space="preserve"> shall approve investment policy; in case of refusal, it shall issue a written reply, clearly stating the reason</w:t>
      </w:r>
      <w:r w:rsidR="00A965B2" w:rsidRPr="00FE0CCD">
        <w:rPr>
          <w:rFonts w:ascii="Arial" w:eastAsia="Times New Roman" w:hAnsi="Arial" w:cs="Arial"/>
          <w:color w:val="000000"/>
          <w:lang w:val="vi-VN"/>
        </w:rPr>
        <w:t>.</w:t>
      </w:r>
    </w:p>
    <w:p w14:paraId="68EFEAAA" w14:textId="77777777" w:rsidR="005C7E69" w:rsidRPr="00FE0CCD" w:rsidRDefault="005C7E69" w:rsidP="005C7E69">
      <w:pPr>
        <w:shd w:val="clear" w:color="auto" w:fill="FFFFFF"/>
        <w:tabs>
          <w:tab w:val="left" w:pos="900"/>
        </w:tabs>
        <w:spacing w:after="0" w:line="276" w:lineRule="auto"/>
        <w:ind w:left="900"/>
        <w:jc w:val="both"/>
        <w:rPr>
          <w:rFonts w:ascii="Arial" w:eastAsia="Times New Roman" w:hAnsi="Arial" w:cs="Arial"/>
          <w:color w:val="000000"/>
        </w:rPr>
      </w:pPr>
    </w:p>
    <w:p w14:paraId="5079D5F5" w14:textId="409AE523" w:rsidR="00A965B2" w:rsidRPr="00FE0CCD" w:rsidRDefault="004C5ED2" w:rsidP="00BE1021">
      <w:pPr>
        <w:numPr>
          <w:ilvl w:val="0"/>
          <w:numId w:val="5"/>
        </w:numPr>
        <w:shd w:val="clear" w:color="auto" w:fill="FFFFFF"/>
        <w:tabs>
          <w:tab w:val="left" w:pos="900"/>
        </w:tabs>
        <w:spacing w:after="0" w:line="276" w:lineRule="auto"/>
        <w:ind w:left="900" w:hanging="540"/>
        <w:jc w:val="both"/>
        <w:rPr>
          <w:rFonts w:ascii="Arial" w:eastAsia="Times New Roman" w:hAnsi="Arial" w:cs="Arial"/>
          <w:color w:val="000000"/>
        </w:rPr>
      </w:pPr>
      <w:r w:rsidRPr="00FE0CCD">
        <w:rPr>
          <w:rFonts w:ascii="Arial" w:eastAsia="Times New Roman" w:hAnsi="Arial" w:cs="Arial"/>
          <w:color w:val="000000"/>
        </w:rPr>
        <w:t xml:space="preserve">The </w:t>
      </w:r>
      <w:r w:rsidR="005C7E69">
        <w:rPr>
          <w:rFonts w:ascii="Arial" w:eastAsia="Times New Roman" w:hAnsi="Arial" w:cs="Arial"/>
          <w:color w:val="000000"/>
        </w:rPr>
        <w:t>PPC</w:t>
      </w:r>
      <w:r w:rsidRPr="00FE0CCD">
        <w:rPr>
          <w:rFonts w:ascii="Arial" w:eastAsia="Times New Roman" w:hAnsi="Arial" w:cs="Arial"/>
          <w:color w:val="000000"/>
        </w:rPr>
        <w:t xml:space="preserve"> shall consider and approve investment policy covering the contents prescribed by the law</w:t>
      </w:r>
      <w:r w:rsidR="00A965B2" w:rsidRPr="00FE0CCD">
        <w:rPr>
          <w:rFonts w:ascii="Arial" w:eastAsia="Times New Roman" w:hAnsi="Arial" w:cs="Arial"/>
          <w:color w:val="000000"/>
        </w:rPr>
        <w:t xml:space="preserve">. </w:t>
      </w:r>
    </w:p>
    <w:p w14:paraId="28B32098" w14:textId="77777777" w:rsidR="00AD1C10" w:rsidRPr="00FE0CCD" w:rsidRDefault="00AD1C10" w:rsidP="00AD1C10">
      <w:pPr>
        <w:shd w:val="clear" w:color="auto" w:fill="FFFFFF"/>
        <w:tabs>
          <w:tab w:val="left" w:pos="900"/>
        </w:tabs>
        <w:spacing w:after="0" w:line="276" w:lineRule="auto"/>
        <w:ind w:left="900"/>
        <w:jc w:val="both"/>
        <w:rPr>
          <w:rFonts w:ascii="Arial" w:eastAsia="Times New Roman" w:hAnsi="Arial" w:cs="Arial"/>
          <w:color w:val="000000"/>
        </w:rPr>
      </w:pPr>
    </w:p>
    <w:p w14:paraId="4B99056E" w14:textId="47777754" w:rsidR="00524398" w:rsidRPr="00FE0CCD" w:rsidRDefault="008A3403" w:rsidP="00BE1021">
      <w:pPr>
        <w:shd w:val="clear" w:color="auto" w:fill="FFFFFF"/>
        <w:tabs>
          <w:tab w:val="left" w:pos="900"/>
        </w:tabs>
        <w:spacing w:after="0" w:line="276" w:lineRule="auto"/>
        <w:jc w:val="both"/>
        <w:rPr>
          <w:rFonts w:ascii="Arial" w:eastAsia="Times New Roman" w:hAnsi="Arial" w:cs="Arial"/>
          <w:color w:val="000000"/>
        </w:rPr>
      </w:pPr>
      <w:r>
        <w:rPr>
          <w:rFonts w:ascii="Arial" w:eastAsia="Times New Roman" w:hAnsi="Arial" w:cs="Arial"/>
          <w:color w:val="000000"/>
        </w:rPr>
        <w:t>I</w:t>
      </w:r>
      <w:r w:rsidR="00442A87" w:rsidRPr="00FE0CCD">
        <w:rPr>
          <w:rFonts w:ascii="Arial" w:eastAsia="Times New Roman" w:hAnsi="Arial" w:cs="Arial"/>
          <w:color w:val="000000"/>
        </w:rPr>
        <w:t>nvestors must recognize that the quality and completeness of the initial application dossier are paramount. A thorough and well-supported investment project proposal, especially concerning financial capacity and alignment with local planning, is essential for successfully navigating this critical legal process</w:t>
      </w:r>
      <w:r w:rsidR="004C5ED2" w:rsidRPr="00FE0CCD">
        <w:rPr>
          <w:rFonts w:ascii="Arial" w:eastAsia="Times New Roman" w:hAnsi="Arial" w:cs="Arial"/>
          <w:color w:val="000000"/>
        </w:rPr>
        <w:t>.</w:t>
      </w:r>
      <w:r w:rsidR="00FE0CCD" w:rsidRPr="00FE0CCD">
        <w:rPr>
          <w:rFonts w:ascii="Arial" w:eastAsia="Times New Roman" w:hAnsi="Arial" w:cs="Arial"/>
          <w:color w:val="000000"/>
        </w:rPr>
        <w:t xml:space="preserve"> </w:t>
      </w:r>
      <w:r w:rsidR="00FE0CCD" w:rsidRPr="00FE0CCD">
        <w:rPr>
          <w:rFonts w:ascii="Arial" w:eastAsia="Times New Roman" w:hAnsi="Arial" w:cs="Arial"/>
          <w:color w:val="000000"/>
        </w:rPr>
        <w:t>Professional legal counsel is highly recommended to ensure compliance with all requirements and to facilitate a smooth appraisal process.</w:t>
      </w:r>
      <w:r w:rsidR="004C5ED2" w:rsidRPr="00FE0CCD">
        <w:rPr>
          <w:rFonts w:ascii="Arial" w:eastAsia="Times New Roman" w:hAnsi="Arial" w:cs="Arial"/>
          <w:color w:val="000000"/>
        </w:rPr>
        <w:t xml:space="preserve"> </w:t>
      </w:r>
    </w:p>
    <w:p w14:paraId="1299C43A" w14:textId="0390D75E" w:rsidR="007E2C2F" w:rsidRDefault="007E2C2F" w:rsidP="00BE1021">
      <w:pPr>
        <w:spacing w:after="0" w:line="276" w:lineRule="auto"/>
        <w:jc w:val="both"/>
        <w:rPr>
          <w:rStyle w:val="spellingerror"/>
          <w:rFonts w:ascii="Arial" w:hAnsi="Arial" w:cs="Arial"/>
          <w:color w:val="000000"/>
          <w:shd w:val="clear" w:color="auto" w:fill="FFFFFF"/>
        </w:rPr>
      </w:pPr>
      <w:r>
        <w:rPr>
          <w:rStyle w:val="spellingerror"/>
          <w:rFonts w:ascii="Arial" w:hAnsi="Arial" w:cs="Arial"/>
          <w:color w:val="000000"/>
          <w:shd w:val="clear" w:color="auto" w:fill="FFFFFF"/>
        </w:rPr>
        <w:br w:type="page"/>
      </w:r>
    </w:p>
    <w:tbl>
      <w:tblPr>
        <w:tblW w:w="8666" w:type="dxa"/>
        <w:tblCellMar>
          <w:left w:w="0" w:type="dxa"/>
          <w:right w:w="0" w:type="dxa"/>
        </w:tblCellMar>
        <w:tblLook w:val="04A0" w:firstRow="1" w:lastRow="0" w:firstColumn="1" w:lastColumn="0" w:noHBand="0" w:noVBand="1"/>
      </w:tblPr>
      <w:tblGrid>
        <w:gridCol w:w="4711"/>
        <w:gridCol w:w="3955"/>
      </w:tblGrid>
      <w:tr w:rsidR="007E2C2F" w:rsidRPr="00186F60" w14:paraId="65BE9A6C" w14:textId="77777777" w:rsidTr="00743345">
        <w:trPr>
          <w:trHeight w:val="300"/>
        </w:trPr>
        <w:tc>
          <w:tcPr>
            <w:tcW w:w="4711" w:type="dxa"/>
            <w:shd w:val="clear" w:color="auto" w:fill="auto"/>
            <w:hideMark/>
          </w:tcPr>
          <w:p w14:paraId="14D00147" w14:textId="77777777" w:rsidR="007E2C2F" w:rsidRPr="00186F60" w:rsidRDefault="007E2C2F" w:rsidP="00743345">
            <w:pPr>
              <w:spacing w:after="0" w:line="240" w:lineRule="auto"/>
              <w:textAlignment w:val="baseline"/>
              <w:rPr>
                <w:rFonts w:ascii="Segoe UI" w:eastAsia="Times New Roman" w:hAnsi="Segoe UI" w:cs="Segoe UI"/>
                <w:sz w:val="18"/>
                <w:szCs w:val="18"/>
              </w:rPr>
            </w:pPr>
          </w:p>
          <w:p w14:paraId="1934391F" w14:textId="77777777" w:rsidR="007E2C2F" w:rsidRPr="00186F60" w:rsidRDefault="007E2C2F" w:rsidP="00743345">
            <w:pPr>
              <w:spacing w:after="0" w:line="240" w:lineRule="auto"/>
              <w:textAlignment w:val="baseline"/>
              <w:rPr>
                <w:rFonts w:ascii="Segoe UI" w:eastAsia="Times New Roman" w:hAnsi="Segoe UI" w:cs="Segoe UI"/>
                <w:sz w:val="18"/>
                <w:szCs w:val="18"/>
              </w:rPr>
            </w:pPr>
            <w:r w:rsidRPr="00186F60">
              <w:rPr>
                <w:rFonts w:ascii="Segoe UI" w:eastAsia="Times New Roman" w:hAnsi="Segoe UI" w:cs="Segoe UI"/>
                <w:noProof/>
                <w:sz w:val="18"/>
                <w:szCs w:val="18"/>
              </w:rPr>
              <w:drawing>
                <wp:inline distT="0" distB="0" distL="0" distR="0" wp14:anchorId="5C370F01" wp14:editId="4747772C">
                  <wp:extent cx="2838203" cy="2181860"/>
                  <wp:effectExtent l="0" t="0" r="635" b="8890"/>
                  <wp:docPr id="22" name="Picture 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ext 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4932" cy="2187033"/>
                          </a:xfrm>
                          <a:prstGeom prst="rect">
                            <a:avLst/>
                          </a:prstGeom>
                          <a:noFill/>
                          <a:ln>
                            <a:noFill/>
                          </a:ln>
                        </pic:spPr>
                      </pic:pic>
                    </a:graphicData>
                  </a:graphic>
                </wp:inline>
              </w:drawing>
            </w:r>
            <w:r w:rsidRPr="00186F60">
              <w:rPr>
                <w:rFonts w:ascii="Arial" w:eastAsia="Times New Roman" w:hAnsi="Arial" w:cs="Arial"/>
                <w:lang w:val="pt-PT"/>
              </w:rPr>
              <w:t> </w:t>
            </w:r>
            <w:r w:rsidRPr="00186F60">
              <w:rPr>
                <w:rFonts w:ascii="Arial" w:eastAsia="Times New Roman" w:hAnsi="Arial" w:cs="Arial"/>
              </w:rPr>
              <w:t> </w:t>
            </w:r>
          </w:p>
          <w:p w14:paraId="03801768" w14:textId="77777777" w:rsidR="007E2C2F" w:rsidRPr="00186F60" w:rsidRDefault="007E2C2F" w:rsidP="00743345">
            <w:pPr>
              <w:spacing w:after="0" w:line="240" w:lineRule="auto"/>
              <w:textAlignment w:val="baseline"/>
              <w:rPr>
                <w:rFonts w:ascii="Segoe UI" w:eastAsia="Times New Roman" w:hAnsi="Segoe UI" w:cs="Segoe UI"/>
                <w:sz w:val="18"/>
                <w:szCs w:val="18"/>
              </w:rPr>
            </w:pPr>
            <w:r w:rsidRPr="00186F60">
              <w:rPr>
                <w:rFonts w:ascii="Arial" w:eastAsia="Times New Roman" w:hAnsi="Arial" w:cs="Arial"/>
                <w:b/>
                <w:bCs/>
                <w:color w:val="004680"/>
                <w:shd w:val="clear" w:color="auto" w:fill="FFFFFF"/>
              </w:rPr>
              <w:t>CONTACT:</w:t>
            </w:r>
            <w:r w:rsidRPr="00186F60">
              <w:rPr>
                <w:rFonts w:ascii="Arial" w:eastAsia="Times New Roman" w:hAnsi="Arial" w:cs="Arial"/>
                <w:color w:val="004680"/>
              </w:rPr>
              <w:t> </w:t>
            </w:r>
          </w:p>
          <w:p w14:paraId="640EACA6" w14:textId="77777777" w:rsidR="007E2C2F" w:rsidRPr="00186F60" w:rsidRDefault="007E2C2F" w:rsidP="00743345">
            <w:pPr>
              <w:spacing w:after="0" w:line="240" w:lineRule="auto"/>
              <w:textAlignment w:val="baseline"/>
              <w:rPr>
                <w:rFonts w:ascii="Segoe UI" w:eastAsia="Times New Roman" w:hAnsi="Segoe UI" w:cs="Segoe UI"/>
                <w:sz w:val="18"/>
                <w:szCs w:val="18"/>
              </w:rPr>
            </w:pPr>
            <w:r w:rsidRPr="00186F60">
              <w:rPr>
                <w:rFonts w:ascii="Arial" w:eastAsia="Times New Roman" w:hAnsi="Arial" w:cs="Arial"/>
                <w:color w:val="004680"/>
              </w:rPr>
              <w:t> </w:t>
            </w:r>
          </w:p>
          <w:p w14:paraId="22023B2B" w14:textId="77777777" w:rsidR="007E2C2F" w:rsidRPr="00186F60" w:rsidRDefault="007E2C2F" w:rsidP="00743345">
            <w:pPr>
              <w:spacing w:after="0" w:line="240" w:lineRule="auto"/>
              <w:textAlignment w:val="baseline"/>
              <w:rPr>
                <w:rFonts w:ascii="Segoe UI" w:eastAsia="Times New Roman" w:hAnsi="Segoe UI" w:cs="Segoe UI"/>
                <w:sz w:val="18"/>
                <w:szCs w:val="18"/>
              </w:rPr>
            </w:pPr>
            <w:r w:rsidRPr="00186F60">
              <w:rPr>
                <w:rFonts w:ascii="Arial" w:eastAsia="Times New Roman" w:hAnsi="Arial" w:cs="Arial"/>
                <w:b/>
                <w:bCs/>
                <w:color w:val="004680"/>
                <w:shd w:val="clear" w:color="auto" w:fill="FFFFFF"/>
              </w:rPr>
              <w:t>Telephone:</w:t>
            </w:r>
            <w:r w:rsidRPr="00186F60">
              <w:rPr>
                <w:rFonts w:ascii="Arial" w:eastAsia="Times New Roman" w:hAnsi="Arial" w:cs="Arial"/>
                <w:b/>
                <w:bCs/>
                <w:color w:val="004680"/>
              </w:rPr>
              <w:t> </w:t>
            </w:r>
            <w:r w:rsidRPr="00186F60">
              <w:rPr>
                <w:rFonts w:ascii="Arial" w:eastAsia="Times New Roman" w:hAnsi="Arial" w:cs="Arial"/>
                <w:color w:val="004680"/>
              </w:rPr>
              <w:t> </w:t>
            </w:r>
          </w:p>
          <w:p w14:paraId="4AA49273" w14:textId="77777777" w:rsidR="007E2C2F" w:rsidRPr="00186F60" w:rsidRDefault="007E2C2F" w:rsidP="00743345">
            <w:pPr>
              <w:spacing w:after="0" w:line="240" w:lineRule="auto"/>
              <w:textAlignment w:val="baseline"/>
              <w:rPr>
                <w:rFonts w:ascii="Segoe UI" w:eastAsia="Times New Roman" w:hAnsi="Segoe UI" w:cs="Segoe UI"/>
                <w:sz w:val="18"/>
                <w:szCs w:val="18"/>
              </w:rPr>
            </w:pPr>
            <w:r w:rsidRPr="00186F60">
              <w:rPr>
                <w:rFonts w:ascii="Arial" w:eastAsia="Times New Roman" w:hAnsi="Arial" w:cs="Arial"/>
                <w:shd w:val="clear" w:color="auto" w:fill="FFFFFF"/>
              </w:rPr>
              <w:t>(+84) 24 2269 3399</w:t>
            </w:r>
            <w:r w:rsidRPr="00186F60">
              <w:rPr>
                <w:rFonts w:ascii="Arial" w:eastAsia="Times New Roman" w:hAnsi="Arial" w:cs="Arial"/>
              </w:rPr>
              <w:t>  </w:t>
            </w:r>
          </w:p>
          <w:p w14:paraId="2693179A" w14:textId="77777777" w:rsidR="007E2C2F" w:rsidRPr="00186F60" w:rsidRDefault="007E2C2F" w:rsidP="00743345">
            <w:pPr>
              <w:spacing w:after="0" w:line="240" w:lineRule="auto"/>
              <w:textAlignment w:val="baseline"/>
              <w:rPr>
                <w:rFonts w:ascii="Segoe UI" w:eastAsia="Times New Roman" w:hAnsi="Segoe UI" w:cs="Segoe UI"/>
                <w:sz w:val="18"/>
                <w:szCs w:val="18"/>
              </w:rPr>
            </w:pPr>
            <w:r w:rsidRPr="00186F60">
              <w:rPr>
                <w:rFonts w:ascii="Arial" w:eastAsia="Times New Roman" w:hAnsi="Arial" w:cs="Arial"/>
                <w:color w:val="004680"/>
              </w:rPr>
              <w:t> </w:t>
            </w:r>
          </w:p>
          <w:p w14:paraId="73FD2FE8" w14:textId="77777777" w:rsidR="007E2C2F" w:rsidRPr="00186F60" w:rsidRDefault="007E2C2F" w:rsidP="00743345">
            <w:pPr>
              <w:spacing w:after="0" w:line="240" w:lineRule="auto"/>
              <w:textAlignment w:val="baseline"/>
              <w:rPr>
                <w:rFonts w:ascii="Segoe UI" w:eastAsia="Times New Roman" w:hAnsi="Segoe UI" w:cs="Segoe UI"/>
                <w:sz w:val="18"/>
                <w:szCs w:val="18"/>
              </w:rPr>
            </w:pPr>
            <w:r w:rsidRPr="00186F60">
              <w:rPr>
                <w:rFonts w:ascii="Arial" w:eastAsia="Times New Roman" w:hAnsi="Arial" w:cs="Arial"/>
                <w:b/>
                <w:bCs/>
                <w:color w:val="004680"/>
                <w:shd w:val="clear" w:color="auto" w:fill="FFFFFF"/>
              </w:rPr>
              <w:t>Hotline:</w:t>
            </w:r>
            <w:r w:rsidRPr="00186F60">
              <w:rPr>
                <w:rFonts w:ascii="Arial" w:eastAsia="Times New Roman" w:hAnsi="Arial" w:cs="Arial"/>
                <w:b/>
                <w:bCs/>
                <w:color w:val="004680"/>
              </w:rPr>
              <w:t> </w:t>
            </w:r>
            <w:r w:rsidRPr="00186F60">
              <w:rPr>
                <w:rFonts w:ascii="Arial" w:eastAsia="Times New Roman" w:hAnsi="Arial" w:cs="Arial"/>
                <w:color w:val="004680"/>
              </w:rPr>
              <w:t> </w:t>
            </w:r>
          </w:p>
          <w:p w14:paraId="5323C3A0" w14:textId="77777777" w:rsidR="007E2C2F" w:rsidRPr="00186F60" w:rsidRDefault="007E2C2F" w:rsidP="00743345">
            <w:pPr>
              <w:spacing w:after="0" w:line="240" w:lineRule="auto"/>
              <w:textAlignment w:val="baseline"/>
              <w:rPr>
                <w:rFonts w:ascii="Segoe UI" w:eastAsia="Times New Roman" w:hAnsi="Segoe UI" w:cs="Segoe UI"/>
                <w:sz w:val="18"/>
                <w:szCs w:val="18"/>
              </w:rPr>
            </w:pPr>
            <w:r w:rsidRPr="00186F60">
              <w:rPr>
                <w:rFonts w:ascii="Arial" w:eastAsia="Times New Roman" w:hAnsi="Arial" w:cs="Arial"/>
                <w:shd w:val="clear" w:color="auto" w:fill="FFFFFF"/>
              </w:rPr>
              <w:t>(+84) 84 400 8484</w:t>
            </w:r>
            <w:r w:rsidRPr="00186F60">
              <w:rPr>
                <w:rFonts w:ascii="Arial" w:eastAsia="Times New Roman" w:hAnsi="Arial" w:cs="Arial"/>
                <w:b/>
                <w:bCs/>
              </w:rPr>
              <w:t> </w:t>
            </w:r>
            <w:r w:rsidRPr="00186F60">
              <w:rPr>
                <w:rFonts w:ascii="Arial" w:eastAsia="Times New Roman" w:hAnsi="Arial" w:cs="Arial"/>
              </w:rPr>
              <w:t> </w:t>
            </w:r>
          </w:p>
          <w:p w14:paraId="1E14C424" w14:textId="77777777" w:rsidR="007E2C2F" w:rsidRPr="00186F60" w:rsidRDefault="007E2C2F" w:rsidP="00743345">
            <w:pPr>
              <w:spacing w:after="0" w:line="240" w:lineRule="auto"/>
              <w:textAlignment w:val="baseline"/>
              <w:rPr>
                <w:rFonts w:ascii="Segoe UI" w:eastAsia="Times New Roman" w:hAnsi="Segoe UI" w:cs="Segoe UI"/>
                <w:sz w:val="18"/>
                <w:szCs w:val="18"/>
              </w:rPr>
            </w:pPr>
            <w:r w:rsidRPr="00186F60">
              <w:rPr>
                <w:rFonts w:ascii="Arial" w:eastAsia="Times New Roman" w:hAnsi="Arial" w:cs="Arial"/>
                <w:b/>
                <w:bCs/>
                <w:color w:val="004680"/>
              </w:rPr>
              <w:t> </w:t>
            </w:r>
            <w:r w:rsidRPr="00186F60">
              <w:rPr>
                <w:rFonts w:ascii="Arial" w:eastAsia="Times New Roman" w:hAnsi="Arial" w:cs="Arial"/>
                <w:color w:val="004680"/>
              </w:rPr>
              <w:t> </w:t>
            </w:r>
          </w:p>
          <w:p w14:paraId="1DB56BF4" w14:textId="77777777" w:rsidR="007E2C2F" w:rsidRPr="00186F60" w:rsidRDefault="007E2C2F" w:rsidP="00743345">
            <w:pPr>
              <w:spacing w:after="0" w:line="240" w:lineRule="auto"/>
              <w:textAlignment w:val="baseline"/>
              <w:rPr>
                <w:rFonts w:ascii="Segoe UI" w:eastAsia="Times New Roman" w:hAnsi="Segoe UI" w:cs="Segoe UI"/>
                <w:sz w:val="18"/>
                <w:szCs w:val="18"/>
              </w:rPr>
            </w:pPr>
            <w:r w:rsidRPr="00186F60">
              <w:rPr>
                <w:rFonts w:ascii="Arial" w:eastAsia="Times New Roman" w:hAnsi="Arial" w:cs="Arial"/>
                <w:b/>
                <w:bCs/>
                <w:color w:val="004680"/>
                <w:shd w:val="clear" w:color="auto" w:fill="FFFFFF"/>
              </w:rPr>
              <w:t>Email:</w:t>
            </w:r>
            <w:r w:rsidRPr="00186F60">
              <w:rPr>
                <w:rFonts w:ascii="Arial" w:eastAsia="Times New Roman" w:hAnsi="Arial" w:cs="Arial"/>
                <w:b/>
                <w:bCs/>
                <w:color w:val="004680"/>
              </w:rPr>
              <w:t> </w:t>
            </w:r>
            <w:r w:rsidRPr="00186F60">
              <w:rPr>
                <w:rFonts w:ascii="Arial" w:eastAsia="Times New Roman" w:hAnsi="Arial" w:cs="Arial"/>
                <w:color w:val="004680"/>
              </w:rPr>
              <w:t> </w:t>
            </w:r>
          </w:p>
          <w:p w14:paraId="53FB1F12" w14:textId="77777777" w:rsidR="007E2C2F" w:rsidRPr="00186F60" w:rsidRDefault="007E2C2F" w:rsidP="00743345">
            <w:pPr>
              <w:spacing w:after="0" w:line="240" w:lineRule="auto"/>
              <w:textAlignment w:val="baseline"/>
              <w:rPr>
                <w:rFonts w:ascii="Segoe UI" w:eastAsia="Times New Roman" w:hAnsi="Segoe UI" w:cs="Segoe UI"/>
                <w:sz w:val="18"/>
                <w:szCs w:val="18"/>
              </w:rPr>
            </w:pPr>
            <w:hyperlink r:id="rId9" w:tgtFrame="_blank" w:history="1">
              <w:r w:rsidRPr="00186F60">
                <w:rPr>
                  <w:rFonts w:ascii="Arial" w:eastAsia="Times New Roman" w:hAnsi="Arial" w:cs="Arial"/>
                  <w:color w:val="0000FF"/>
                  <w:shd w:val="clear" w:color="auto" w:fill="FFFFFF"/>
                </w:rPr>
                <w:t>info@asialegal.vn</w:t>
              </w:r>
            </w:hyperlink>
            <w:r w:rsidRPr="00186F60">
              <w:rPr>
                <w:rFonts w:ascii="Arial" w:eastAsia="Times New Roman" w:hAnsi="Arial" w:cs="Arial"/>
              </w:rPr>
              <w:t>  </w:t>
            </w:r>
          </w:p>
          <w:p w14:paraId="63E3CE8D" w14:textId="77777777" w:rsidR="007E2C2F" w:rsidRPr="00186F60" w:rsidRDefault="007E2C2F" w:rsidP="00743345">
            <w:pPr>
              <w:spacing w:after="0" w:line="240" w:lineRule="auto"/>
              <w:textAlignment w:val="baseline"/>
              <w:rPr>
                <w:rFonts w:ascii="Segoe UI" w:eastAsia="Times New Roman" w:hAnsi="Segoe UI" w:cs="Segoe UI"/>
                <w:sz w:val="18"/>
                <w:szCs w:val="18"/>
              </w:rPr>
            </w:pPr>
            <w:r w:rsidRPr="00186F60">
              <w:rPr>
                <w:rFonts w:ascii="Arial" w:eastAsia="Times New Roman" w:hAnsi="Arial" w:cs="Arial"/>
              </w:rPr>
              <w:t> </w:t>
            </w:r>
          </w:p>
          <w:p w14:paraId="3577EF55" w14:textId="77777777" w:rsidR="007E2C2F" w:rsidRPr="00186F60" w:rsidRDefault="007E2C2F" w:rsidP="00743345">
            <w:pPr>
              <w:spacing w:after="0" w:line="240" w:lineRule="auto"/>
              <w:textAlignment w:val="baseline"/>
              <w:rPr>
                <w:rFonts w:ascii="Segoe UI" w:eastAsia="Times New Roman" w:hAnsi="Segoe UI" w:cs="Segoe UI"/>
                <w:sz w:val="18"/>
                <w:szCs w:val="18"/>
              </w:rPr>
            </w:pPr>
            <w:r w:rsidRPr="00186F60">
              <w:rPr>
                <w:rFonts w:ascii="Arial" w:eastAsia="Times New Roman" w:hAnsi="Arial" w:cs="Arial"/>
                <w:b/>
                <w:bCs/>
                <w:color w:val="004680"/>
                <w:shd w:val="clear" w:color="auto" w:fill="FFFFFF"/>
                <w:lang w:val="pt-PT"/>
              </w:rPr>
              <w:t>Website:</w:t>
            </w:r>
            <w:r w:rsidRPr="00186F60">
              <w:rPr>
                <w:rFonts w:ascii="Arial" w:eastAsia="Times New Roman" w:hAnsi="Arial" w:cs="Arial"/>
                <w:b/>
                <w:bCs/>
                <w:color w:val="004680"/>
                <w:lang w:val="pt-PT"/>
              </w:rPr>
              <w:t> </w:t>
            </w:r>
            <w:r w:rsidRPr="00186F60">
              <w:rPr>
                <w:rFonts w:ascii="Arial" w:eastAsia="Times New Roman" w:hAnsi="Arial" w:cs="Arial"/>
                <w:color w:val="004680"/>
              </w:rPr>
              <w:t> </w:t>
            </w:r>
          </w:p>
          <w:p w14:paraId="5525703C" w14:textId="77777777" w:rsidR="007E2C2F" w:rsidRPr="00186F60" w:rsidRDefault="007E2C2F" w:rsidP="00743345">
            <w:pPr>
              <w:spacing w:after="0" w:line="240" w:lineRule="auto"/>
              <w:textAlignment w:val="baseline"/>
              <w:rPr>
                <w:rFonts w:ascii="Segoe UI" w:eastAsia="Times New Roman" w:hAnsi="Segoe UI" w:cs="Segoe UI"/>
                <w:sz w:val="18"/>
                <w:szCs w:val="18"/>
              </w:rPr>
            </w:pPr>
            <w:r w:rsidRPr="00186F60">
              <w:rPr>
                <w:rFonts w:ascii="Arial" w:eastAsia="Times New Roman" w:hAnsi="Arial" w:cs="Arial"/>
                <w:lang w:val="pt-PT"/>
              </w:rPr>
              <w:t>www.asialegal.vn </w:t>
            </w:r>
            <w:r w:rsidRPr="00186F60">
              <w:rPr>
                <w:rFonts w:ascii="Arial" w:eastAsia="Times New Roman" w:hAnsi="Arial" w:cs="Arial"/>
              </w:rPr>
              <w:t> </w:t>
            </w:r>
          </w:p>
          <w:p w14:paraId="184F9E44" w14:textId="77777777" w:rsidR="007E2C2F" w:rsidRPr="00186F60" w:rsidRDefault="007E2C2F" w:rsidP="00743345">
            <w:pPr>
              <w:spacing w:after="0" w:line="240" w:lineRule="auto"/>
              <w:jc w:val="both"/>
              <w:textAlignment w:val="baseline"/>
              <w:rPr>
                <w:rFonts w:ascii="Segoe UI" w:eastAsia="Times New Roman" w:hAnsi="Segoe UI" w:cs="Segoe UI"/>
                <w:sz w:val="18"/>
                <w:szCs w:val="18"/>
              </w:rPr>
            </w:pPr>
            <w:r w:rsidRPr="00186F60">
              <w:rPr>
                <w:rFonts w:ascii="Arial" w:eastAsia="Times New Roman" w:hAnsi="Arial" w:cs="Arial"/>
                <w:color w:val="004680"/>
              </w:rPr>
              <w:t> </w:t>
            </w:r>
          </w:p>
          <w:p w14:paraId="417762D5" w14:textId="77777777" w:rsidR="007E2C2F" w:rsidRPr="00186F60" w:rsidRDefault="007E2C2F" w:rsidP="00743345">
            <w:pPr>
              <w:spacing w:after="0" w:line="240" w:lineRule="auto"/>
              <w:jc w:val="both"/>
              <w:textAlignment w:val="baseline"/>
              <w:rPr>
                <w:rFonts w:ascii="Segoe UI" w:eastAsia="Times New Roman" w:hAnsi="Segoe UI" w:cs="Segoe UI"/>
                <w:sz w:val="18"/>
                <w:szCs w:val="18"/>
              </w:rPr>
            </w:pPr>
            <w:r w:rsidRPr="00186F60">
              <w:rPr>
                <w:rFonts w:ascii="Arial" w:eastAsia="Times New Roman" w:hAnsi="Arial" w:cs="Arial"/>
                <w:b/>
                <w:bCs/>
                <w:color w:val="004680"/>
                <w:shd w:val="clear" w:color="auto" w:fill="FFFFFF"/>
                <w:lang w:val="pt-PT"/>
              </w:rPr>
              <w:t>Headquarter (Hanoi)</w:t>
            </w:r>
            <w:r w:rsidRPr="00186F60">
              <w:rPr>
                <w:rFonts w:ascii="Arial" w:eastAsia="Times New Roman" w:hAnsi="Arial" w:cs="Arial"/>
                <w:color w:val="004680"/>
              </w:rPr>
              <w:t> </w:t>
            </w:r>
          </w:p>
          <w:p w14:paraId="1C174DD6" w14:textId="77777777" w:rsidR="007E2C2F" w:rsidRPr="00186F60" w:rsidRDefault="007E2C2F" w:rsidP="00743345">
            <w:pPr>
              <w:spacing w:after="0" w:line="240" w:lineRule="auto"/>
              <w:ind w:left="-105"/>
              <w:textAlignment w:val="baseline"/>
              <w:rPr>
                <w:rFonts w:ascii="Segoe UI" w:eastAsia="Times New Roman" w:hAnsi="Segoe UI" w:cs="Segoe UI"/>
                <w:sz w:val="18"/>
                <w:szCs w:val="18"/>
              </w:rPr>
            </w:pPr>
            <w:r w:rsidRPr="00186F60">
              <w:rPr>
                <w:rFonts w:ascii="Arial" w:eastAsia="Times New Roman" w:hAnsi="Arial" w:cs="Arial"/>
                <w:shd w:val="clear" w:color="auto" w:fill="FFFFFF"/>
              </w:rPr>
              <w:t>15th Floor, HT Building, No. 80 Duy Tan, </w:t>
            </w:r>
            <w:r w:rsidRPr="00186F60">
              <w:rPr>
                <w:rFonts w:ascii="Arial" w:eastAsia="Times New Roman" w:hAnsi="Arial" w:cs="Arial"/>
              </w:rPr>
              <w:t> </w:t>
            </w:r>
          </w:p>
          <w:p w14:paraId="4511D705" w14:textId="77777777" w:rsidR="007E2C2F" w:rsidRPr="00186F60" w:rsidRDefault="007E2C2F" w:rsidP="00743345">
            <w:pPr>
              <w:spacing w:after="0" w:line="240" w:lineRule="auto"/>
              <w:jc w:val="both"/>
              <w:textAlignment w:val="baseline"/>
              <w:rPr>
                <w:rFonts w:ascii="Segoe UI" w:eastAsia="Times New Roman" w:hAnsi="Segoe UI" w:cs="Segoe UI"/>
                <w:sz w:val="18"/>
                <w:szCs w:val="18"/>
              </w:rPr>
            </w:pPr>
            <w:r w:rsidRPr="00186F60">
              <w:rPr>
                <w:rFonts w:ascii="Arial" w:eastAsia="Times New Roman" w:hAnsi="Arial" w:cs="Arial"/>
                <w:shd w:val="clear" w:color="auto" w:fill="FFFFFF"/>
              </w:rPr>
              <w:t>Cau Giay District, Hanoi, Vietnam.</w:t>
            </w:r>
            <w:r w:rsidRPr="00186F60">
              <w:rPr>
                <w:rFonts w:ascii="Arial" w:eastAsia="Times New Roman" w:hAnsi="Arial" w:cs="Arial"/>
                <w:b/>
                <w:bCs/>
                <w:color w:val="004680"/>
              </w:rPr>
              <w:t> </w:t>
            </w:r>
            <w:r w:rsidRPr="00186F60">
              <w:rPr>
                <w:rFonts w:ascii="Arial" w:eastAsia="Times New Roman" w:hAnsi="Arial" w:cs="Arial"/>
                <w:color w:val="004680"/>
              </w:rPr>
              <w:t> </w:t>
            </w:r>
          </w:p>
        </w:tc>
        <w:tc>
          <w:tcPr>
            <w:tcW w:w="3955" w:type="dxa"/>
            <w:shd w:val="clear" w:color="auto" w:fill="auto"/>
            <w:hideMark/>
          </w:tcPr>
          <w:p w14:paraId="5872B135" w14:textId="77777777" w:rsidR="007E2C2F" w:rsidRPr="00186F60" w:rsidRDefault="007E2C2F" w:rsidP="00743345">
            <w:pPr>
              <w:spacing w:after="0" w:line="240" w:lineRule="auto"/>
              <w:ind w:hanging="105"/>
              <w:textAlignment w:val="baseline"/>
              <w:rPr>
                <w:rFonts w:ascii="Segoe UI" w:eastAsia="Times New Roman" w:hAnsi="Segoe UI" w:cs="Segoe UI"/>
                <w:sz w:val="18"/>
                <w:szCs w:val="18"/>
              </w:rPr>
            </w:pPr>
            <w:r w:rsidRPr="00186F60">
              <w:rPr>
                <w:rFonts w:ascii="Arial" w:eastAsia="Times New Roman" w:hAnsi="Arial" w:cs="Arial"/>
                <w:color w:val="004680"/>
              </w:rPr>
              <w:t> </w:t>
            </w:r>
          </w:p>
          <w:p w14:paraId="430528A7" w14:textId="77777777" w:rsidR="007E2C2F" w:rsidRPr="00186F60" w:rsidRDefault="007E2C2F" w:rsidP="00743345">
            <w:pPr>
              <w:spacing w:after="0" w:line="240" w:lineRule="auto"/>
              <w:textAlignment w:val="baseline"/>
              <w:rPr>
                <w:rFonts w:ascii="Segoe UI" w:eastAsia="Times New Roman" w:hAnsi="Segoe UI" w:cs="Segoe UI"/>
                <w:sz w:val="18"/>
                <w:szCs w:val="18"/>
              </w:rPr>
            </w:pPr>
            <w:r w:rsidRPr="00186F60">
              <w:rPr>
                <w:rFonts w:ascii="Arial" w:eastAsia="Times New Roman" w:hAnsi="Arial" w:cs="Arial"/>
                <w:b/>
                <w:bCs/>
                <w:color w:val="004680"/>
              </w:rPr>
              <w:t>ABOUT ASIA LEGAL: </w:t>
            </w:r>
            <w:r w:rsidRPr="00186F60">
              <w:rPr>
                <w:rFonts w:ascii="Arial" w:eastAsia="Times New Roman" w:hAnsi="Arial" w:cs="Arial"/>
                <w:color w:val="004680"/>
              </w:rPr>
              <w:t>  </w:t>
            </w:r>
          </w:p>
          <w:p w14:paraId="37F565CF" w14:textId="77777777" w:rsidR="007E2C2F" w:rsidRPr="00186F60" w:rsidRDefault="007E2C2F" w:rsidP="00743345">
            <w:pPr>
              <w:spacing w:after="0" w:line="240" w:lineRule="auto"/>
              <w:ind w:hanging="105"/>
              <w:textAlignment w:val="baseline"/>
              <w:rPr>
                <w:rFonts w:ascii="Segoe UI" w:eastAsia="Times New Roman" w:hAnsi="Segoe UI" w:cs="Segoe UI"/>
                <w:sz w:val="18"/>
                <w:szCs w:val="18"/>
              </w:rPr>
            </w:pPr>
            <w:r w:rsidRPr="00186F60">
              <w:rPr>
                <w:rFonts w:ascii="Arial" w:eastAsia="Times New Roman" w:hAnsi="Arial" w:cs="Arial"/>
              </w:rPr>
              <w:t> </w:t>
            </w:r>
          </w:p>
          <w:p w14:paraId="5C4F998D" w14:textId="77777777" w:rsidR="007E2C2F" w:rsidRPr="00186F60" w:rsidRDefault="007E2C2F" w:rsidP="00743345">
            <w:pPr>
              <w:spacing w:after="0" w:line="240" w:lineRule="auto"/>
              <w:ind w:right="180" w:hanging="15"/>
              <w:textAlignment w:val="baseline"/>
              <w:rPr>
                <w:rFonts w:ascii="Segoe UI" w:eastAsia="Times New Roman" w:hAnsi="Segoe UI" w:cs="Segoe UI"/>
                <w:sz w:val="18"/>
                <w:szCs w:val="18"/>
              </w:rPr>
            </w:pPr>
            <w:r w:rsidRPr="00186F60">
              <w:rPr>
                <w:rFonts w:ascii="Arial" w:eastAsia="Times New Roman" w:hAnsi="Arial" w:cs="Arial"/>
              </w:rPr>
              <w:t>Asia Legal is one of the reputable business law firms in Vietnam. At Asia Legal, our commitment lies not only in providing conventional legal services but also in delivering tailored legal solutions that align with the business requirements of our clients. Our approach is founded upon an in-depth comprehension of Vietnamese legislation and a thorough understanding of the unique commercial landscape each client operates within.  </w:t>
            </w:r>
          </w:p>
          <w:p w14:paraId="74C2B0E1" w14:textId="77777777" w:rsidR="007E2C2F" w:rsidRPr="00186F60" w:rsidRDefault="007E2C2F" w:rsidP="00743345">
            <w:pPr>
              <w:spacing w:after="0" w:line="240" w:lineRule="auto"/>
              <w:ind w:right="180" w:hanging="15"/>
              <w:textAlignment w:val="baseline"/>
              <w:rPr>
                <w:rFonts w:ascii="Segoe UI" w:eastAsia="Times New Roman" w:hAnsi="Segoe UI" w:cs="Segoe UI"/>
                <w:sz w:val="18"/>
                <w:szCs w:val="18"/>
              </w:rPr>
            </w:pPr>
            <w:r w:rsidRPr="00186F60">
              <w:rPr>
                <w:rFonts w:ascii="Arial" w:eastAsia="Times New Roman" w:hAnsi="Arial" w:cs="Arial"/>
              </w:rPr>
              <w:t> </w:t>
            </w:r>
          </w:p>
          <w:p w14:paraId="6C088ED6" w14:textId="77777777" w:rsidR="007E2C2F" w:rsidRPr="00186F60" w:rsidRDefault="007E2C2F" w:rsidP="00743345">
            <w:pPr>
              <w:spacing w:after="0" w:line="240" w:lineRule="auto"/>
              <w:ind w:right="180" w:hanging="15"/>
              <w:textAlignment w:val="baseline"/>
              <w:rPr>
                <w:rFonts w:ascii="Segoe UI" w:eastAsia="Times New Roman" w:hAnsi="Segoe UI" w:cs="Segoe UI"/>
                <w:sz w:val="18"/>
                <w:szCs w:val="18"/>
              </w:rPr>
            </w:pPr>
            <w:r w:rsidRPr="00186F60">
              <w:rPr>
                <w:rFonts w:ascii="Arial" w:eastAsia="Times New Roman" w:hAnsi="Arial" w:cs="Arial"/>
              </w:rPr>
              <w:t>To ensure the provision of high-quality service to our clients, we focus our endeavors exclusively on catering developing deeply into the service segments as follow: </w:t>
            </w:r>
          </w:p>
          <w:p w14:paraId="1F5CA58D" w14:textId="77777777" w:rsidR="007E2C2F" w:rsidRPr="00186F60" w:rsidRDefault="007E2C2F" w:rsidP="00743345">
            <w:pPr>
              <w:spacing w:after="0" w:line="240" w:lineRule="auto"/>
              <w:ind w:right="180"/>
              <w:textAlignment w:val="baseline"/>
              <w:rPr>
                <w:rFonts w:ascii="Segoe UI" w:eastAsia="Times New Roman" w:hAnsi="Segoe UI" w:cs="Segoe UI"/>
                <w:sz w:val="18"/>
                <w:szCs w:val="18"/>
              </w:rPr>
            </w:pPr>
            <w:r w:rsidRPr="00186F60">
              <w:rPr>
                <w:rFonts w:ascii="Arial" w:eastAsia="Times New Roman" w:hAnsi="Arial" w:cs="Arial"/>
              </w:rPr>
              <w:t> </w:t>
            </w:r>
          </w:p>
          <w:p w14:paraId="4047C4CD" w14:textId="77777777" w:rsidR="007E2C2F" w:rsidRPr="00186F60" w:rsidRDefault="007E2C2F" w:rsidP="00743345">
            <w:pPr>
              <w:spacing w:after="0" w:line="240" w:lineRule="auto"/>
              <w:ind w:left="165" w:right="180"/>
              <w:textAlignment w:val="baseline"/>
              <w:rPr>
                <w:rFonts w:ascii="Segoe UI" w:eastAsia="Times New Roman" w:hAnsi="Segoe UI" w:cs="Segoe UI"/>
                <w:sz w:val="18"/>
                <w:szCs w:val="18"/>
              </w:rPr>
            </w:pPr>
            <w:r w:rsidRPr="00186F60">
              <w:rPr>
                <w:rFonts w:ascii="Arial" w:eastAsia="Times New Roman" w:hAnsi="Arial" w:cs="Arial"/>
              </w:rPr>
              <w:t>• Mergers &amp; Acquisitions </w:t>
            </w:r>
          </w:p>
          <w:p w14:paraId="1C55B741" w14:textId="77777777" w:rsidR="007E2C2F" w:rsidRPr="00186F60" w:rsidRDefault="007E2C2F" w:rsidP="00743345">
            <w:pPr>
              <w:spacing w:after="0" w:line="240" w:lineRule="auto"/>
              <w:ind w:left="165" w:right="180"/>
              <w:textAlignment w:val="baseline"/>
              <w:rPr>
                <w:rFonts w:ascii="Segoe UI" w:eastAsia="Times New Roman" w:hAnsi="Segoe UI" w:cs="Segoe UI"/>
                <w:sz w:val="18"/>
                <w:szCs w:val="18"/>
              </w:rPr>
            </w:pPr>
            <w:r w:rsidRPr="00186F60">
              <w:rPr>
                <w:rFonts w:ascii="Arial" w:eastAsia="Times New Roman" w:hAnsi="Arial" w:cs="Arial"/>
              </w:rPr>
              <w:t>• Dispute Resolution </w:t>
            </w:r>
          </w:p>
          <w:p w14:paraId="1F63F6BB" w14:textId="77777777" w:rsidR="007E2C2F" w:rsidRPr="00186F60" w:rsidRDefault="007E2C2F" w:rsidP="00743345">
            <w:pPr>
              <w:spacing w:after="0" w:line="240" w:lineRule="auto"/>
              <w:ind w:left="165" w:right="180"/>
              <w:textAlignment w:val="baseline"/>
              <w:rPr>
                <w:rFonts w:ascii="Segoe UI" w:eastAsia="Times New Roman" w:hAnsi="Segoe UI" w:cs="Segoe UI"/>
                <w:sz w:val="18"/>
                <w:szCs w:val="18"/>
              </w:rPr>
            </w:pPr>
            <w:r w:rsidRPr="00186F60">
              <w:rPr>
                <w:rFonts w:ascii="Arial" w:eastAsia="Times New Roman" w:hAnsi="Arial" w:cs="Arial"/>
              </w:rPr>
              <w:t>• Foreign Investment </w:t>
            </w:r>
          </w:p>
          <w:p w14:paraId="58FD2DA9" w14:textId="77777777" w:rsidR="007E2C2F" w:rsidRPr="00186F60" w:rsidRDefault="007E2C2F" w:rsidP="00743345">
            <w:pPr>
              <w:spacing w:after="0" w:line="240" w:lineRule="auto"/>
              <w:ind w:left="165" w:right="180"/>
              <w:textAlignment w:val="baseline"/>
              <w:rPr>
                <w:rFonts w:ascii="Segoe UI" w:eastAsia="Times New Roman" w:hAnsi="Segoe UI" w:cs="Segoe UI"/>
                <w:sz w:val="18"/>
                <w:szCs w:val="18"/>
              </w:rPr>
            </w:pPr>
            <w:r w:rsidRPr="00186F60">
              <w:rPr>
                <w:rFonts w:ascii="Arial" w:eastAsia="Times New Roman" w:hAnsi="Arial" w:cs="Arial"/>
              </w:rPr>
              <w:t>• International Trade </w:t>
            </w:r>
          </w:p>
          <w:p w14:paraId="03CDA269" w14:textId="77777777" w:rsidR="007E2C2F" w:rsidRPr="00186F60" w:rsidRDefault="007E2C2F" w:rsidP="00743345">
            <w:pPr>
              <w:spacing w:after="0" w:line="240" w:lineRule="auto"/>
              <w:ind w:left="165" w:right="180"/>
              <w:textAlignment w:val="baseline"/>
              <w:rPr>
                <w:rFonts w:ascii="Segoe UI" w:eastAsia="Times New Roman" w:hAnsi="Segoe UI" w:cs="Segoe UI"/>
                <w:sz w:val="18"/>
                <w:szCs w:val="18"/>
              </w:rPr>
            </w:pPr>
            <w:r w:rsidRPr="00186F60">
              <w:rPr>
                <w:rFonts w:ascii="Arial" w:eastAsia="Times New Roman" w:hAnsi="Arial" w:cs="Arial"/>
              </w:rPr>
              <w:t>• Energy &amp; Natural Resources </w:t>
            </w:r>
          </w:p>
          <w:p w14:paraId="02DC4CD9" w14:textId="77777777" w:rsidR="007E2C2F" w:rsidRPr="00186F60" w:rsidRDefault="007E2C2F" w:rsidP="00743345">
            <w:pPr>
              <w:spacing w:after="0" w:line="240" w:lineRule="auto"/>
              <w:ind w:left="165" w:right="180"/>
              <w:textAlignment w:val="baseline"/>
              <w:rPr>
                <w:rFonts w:ascii="Segoe UI" w:eastAsia="Times New Roman" w:hAnsi="Segoe UI" w:cs="Segoe UI"/>
                <w:sz w:val="18"/>
                <w:szCs w:val="18"/>
              </w:rPr>
            </w:pPr>
            <w:r w:rsidRPr="00186F60">
              <w:rPr>
                <w:rFonts w:ascii="Arial" w:eastAsia="Times New Roman" w:hAnsi="Arial" w:cs="Arial"/>
              </w:rPr>
              <w:t>• Real Estate &amp; Construction </w:t>
            </w:r>
          </w:p>
          <w:p w14:paraId="587CC4DF" w14:textId="77777777" w:rsidR="007E2C2F" w:rsidRDefault="007E2C2F" w:rsidP="00743345">
            <w:pPr>
              <w:spacing w:after="0" w:line="240" w:lineRule="auto"/>
              <w:ind w:left="165" w:right="180"/>
              <w:textAlignment w:val="baseline"/>
              <w:rPr>
                <w:rFonts w:ascii="Arial" w:eastAsia="Times New Roman" w:hAnsi="Arial" w:cs="Arial"/>
              </w:rPr>
            </w:pPr>
            <w:r w:rsidRPr="00186F60">
              <w:rPr>
                <w:rFonts w:ascii="Arial" w:eastAsia="Times New Roman" w:hAnsi="Arial" w:cs="Arial"/>
              </w:rPr>
              <w:t>• Labor &amp; Employment </w:t>
            </w:r>
          </w:p>
          <w:p w14:paraId="45998704" w14:textId="77777777" w:rsidR="007E2C2F" w:rsidRPr="00186F60" w:rsidRDefault="007E2C2F" w:rsidP="00743345">
            <w:pPr>
              <w:spacing w:after="0" w:line="240" w:lineRule="auto"/>
              <w:ind w:left="165" w:right="180"/>
              <w:textAlignment w:val="baseline"/>
              <w:rPr>
                <w:rFonts w:ascii="Segoe UI" w:eastAsia="Times New Roman" w:hAnsi="Segoe UI" w:cs="Segoe UI"/>
                <w:sz w:val="18"/>
                <w:szCs w:val="18"/>
              </w:rPr>
            </w:pPr>
            <w:r w:rsidRPr="00186F60">
              <w:rPr>
                <w:rFonts w:ascii="Arial" w:eastAsia="Times New Roman" w:hAnsi="Arial" w:cs="Arial"/>
              </w:rPr>
              <w:t xml:space="preserve">• </w:t>
            </w:r>
            <w:r>
              <w:rPr>
                <w:rFonts w:ascii="Arial" w:eastAsia="Times New Roman" w:hAnsi="Arial" w:cs="Arial"/>
              </w:rPr>
              <w:t xml:space="preserve">Data Privacy </w:t>
            </w:r>
            <w:r w:rsidRPr="00186F60">
              <w:rPr>
                <w:rFonts w:ascii="Arial" w:eastAsia="Times New Roman" w:hAnsi="Arial" w:cs="Arial"/>
              </w:rPr>
              <w:t> </w:t>
            </w:r>
          </w:p>
          <w:p w14:paraId="2DDD736E" w14:textId="77777777" w:rsidR="007E2C2F" w:rsidRPr="00186F60" w:rsidRDefault="007E2C2F" w:rsidP="00743345">
            <w:pPr>
              <w:spacing w:after="0" w:line="240" w:lineRule="auto"/>
              <w:ind w:left="165" w:right="180"/>
              <w:textAlignment w:val="baseline"/>
              <w:rPr>
                <w:rFonts w:ascii="Segoe UI" w:eastAsia="Times New Roman" w:hAnsi="Segoe UI" w:cs="Segoe UI"/>
                <w:sz w:val="18"/>
                <w:szCs w:val="18"/>
              </w:rPr>
            </w:pPr>
            <w:r w:rsidRPr="00186F60">
              <w:rPr>
                <w:rFonts w:ascii="Arial" w:eastAsia="Times New Roman" w:hAnsi="Arial" w:cs="Arial"/>
              </w:rPr>
              <w:t xml:space="preserve">• </w:t>
            </w:r>
            <w:r>
              <w:rPr>
                <w:rFonts w:ascii="Arial" w:eastAsia="Times New Roman" w:hAnsi="Arial" w:cs="Arial"/>
              </w:rPr>
              <w:t>Intellectual Property</w:t>
            </w:r>
            <w:r w:rsidRPr="00186F60">
              <w:rPr>
                <w:rFonts w:ascii="Arial" w:eastAsia="Times New Roman" w:hAnsi="Arial" w:cs="Arial"/>
              </w:rPr>
              <w:t> </w:t>
            </w:r>
          </w:p>
          <w:p w14:paraId="23A207AC" w14:textId="77777777" w:rsidR="007E2C2F" w:rsidRPr="00186F60" w:rsidRDefault="007E2C2F" w:rsidP="00743345">
            <w:pPr>
              <w:spacing w:after="0" w:line="240" w:lineRule="auto"/>
              <w:ind w:left="165" w:right="180" w:firstLine="90"/>
              <w:textAlignment w:val="baseline"/>
              <w:rPr>
                <w:rFonts w:ascii="Segoe UI" w:eastAsia="Times New Roman" w:hAnsi="Segoe UI" w:cs="Segoe UI"/>
                <w:sz w:val="18"/>
                <w:szCs w:val="18"/>
              </w:rPr>
            </w:pPr>
            <w:r w:rsidRPr="00186F60">
              <w:rPr>
                <w:rFonts w:ascii="Arial" w:eastAsia="Times New Roman" w:hAnsi="Arial" w:cs="Arial"/>
              </w:rPr>
              <w:t> </w:t>
            </w:r>
          </w:p>
          <w:p w14:paraId="1A0D1A9E" w14:textId="77777777" w:rsidR="007E2C2F" w:rsidRPr="00186F60" w:rsidRDefault="007E2C2F" w:rsidP="00743345">
            <w:pPr>
              <w:spacing w:after="0" w:line="240" w:lineRule="auto"/>
              <w:ind w:left="165" w:right="180" w:firstLine="90"/>
              <w:textAlignment w:val="baseline"/>
              <w:rPr>
                <w:rFonts w:ascii="Segoe UI" w:eastAsia="Times New Roman" w:hAnsi="Segoe UI" w:cs="Segoe UI"/>
                <w:sz w:val="18"/>
                <w:szCs w:val="18"/>
              </w:rPr>
            </w:pPr>
            <w:r w:rsidRPr="00186F60">
              <w:rPr>
                <w:rFonts w:ascii="Arial" w:eastAsia="Times New Roman" w:hAnsi="Arial" w:cs="Arial"/>
              </w:rPr>
              <w:t> </w:t>
            </w:r>
          </w:p>
          <w:p w14:paraId="03C2DDAB" w14:textId="77777777" w:rsidR="007E2C2F" w:rsidRPr="00186F60" w:rsidRDefault="007E2C2F" w:rsidP="00743345">
            <w:pPr>
              <w:spacing w:after="0" w:line="240" w:lineRule="auto"/>
              <w:ind w:left="165" w:right="180" w:firstLine="90"/>
              <w:textAlignment w:val="baseline"/>
              <w:rPr>
                <w:rFonts w:ascii="Segoe UI" w:eastAsia="Times New Roman" w:hAnsi="Segoe UI" w:cs="Segoe UI"/>
                <w:sz w:val="18"/>
                <w:szCs w:val="18"/>
              </w:rPr>
            </w:pPr>
            <w:r w:rsidRPr="00186F60">
              <w:rPr>
                <w:rFonts w:ascii="Segoe UI" w:eastAsia="Times New Roman" w:hAnsi="Segoe UI" w:cs="Segoe UI"/>
                <w:noProof/>
                <w:sz w:val="18"/>
                <w:szCs w:val="18"/>
              </w:rPr>
              <w:drawing>
                <wp:inline distT="0" distB="0" distL="0" distR="0" wp14:anchorId="1BB3BCB6" wp14:editId="595B50E8">
                  <wp:extent cx="1303655" cy="570230"/>
                  <wp:effectExtent l="0" t="0" r="0" b="1270"/>
                  <wp:docPr id="23" name="Picture 5"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ext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3655" cy="570230"/>
                          </a:xfrm>
                          <a:prstGeom prst="rect">
                            <a:avLst/>
                          </a:prstGeom>
                          <a:noFill/>
                          <a:ln>
                            <a:noFill/>
                          </a:ln>
                        </pic:spPr>
                      </pic:pic>
                    </a:graphicData>
                  </a:graphic>
                </wp:inline>
              </w:drawing>
            </w:r>
            <w:r w:rsidRPr="00186F60">
              <w:rPr>
                <w:rFonts w:ascii="Segoe UI" w:eastAsia="Times New Roman" w:hAnsi="Segoe UI" w:cs="Segoe UI"/>
                <w:noProof/>
                <w:sz w:val="18"/>
                <w:szCs w:val="18"/>
              </w:rPr>
              <w:drawing>
                <wp:inline distT="0" distB="0" distL="0" distR="0" wp14:anchorId="1F3BB65D" wp14:editId="50CFDEB5">
                  <wp:extent cx="1520825" cy="1520825"/>
                  <wp:effectExtent l="0" t="0" r="3175" b="3175"/>
                  <wp:docPr id="24" name="Picture 4" descr="A qr cod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4" descr="A qr code with a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0825" cy="1520825"/>
                          </a:xfrm>
                          <a:prstGeom prst="rect">
                            <a:avLst/>
                          </a:prstGeom>
                          <a:noFill/>
                          <a:ln>
                            <a:noFill/>
                          </a:ln>
                        </pic:spPr>
                      </pic:pic>
                    </a:graphicData>
                  </a:graphic>
                </wp:inline>
              </w:drawing>
            </w:r>
            <w:r w:rsidRPr="00186F60">
              <w:rPr>
                <w:rFonts w:ascii="Arial" w:eastAsia="Times New Roman" w:hAnsi="Arial" w:cs="Arial"/>
              </w:rPr>
              <w:t> </w:t>
            </w:r>
          </w:p>
        </w:tc>
      </w:tr>
    </w:tbl>
    <w:p w14:paraId="66A2F64E" w14:textId="77777777" w:rsidR="00827F54" w:rsidRPr="00FE0CCD" w:rsidRDefault="00827F54" w:rsidP="00BE1021">
      <w:pPr>
        <w:spacing w:after="0" w:line="276" w:lineRule="auto"/>
        <w:jc w:val="both"/>
        <w:rPr>
          <w:rStyle w:val="spellingerror"/>
          <w:rFonts w:ascii="Arial" w:hAnsi="Arial" w:cs="Arial"/>
          <w:color w:val="000000"/>
          <w:shd w:val="clear" w:color="auto" w:fill="FFFFFF"/>
        </w:rPr>
      </w:pPr>
    </w:p>
    <w:sectPr w:rsidR="00827F54" w:rsidRPr="00FE0CCD" w:rsidSect="009171A8">
      <w:headerReference w:type="even" r:id="rId12"/>
      <w:headerReference w:type="default" r:id="rId13"/>
      <w:footerReference w:type="default" r:id="rId14"/>
      <w:headerReference w:type="first" r:id="rId15"/>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6BB1E" w14:textId="77777777" w:rsidR="002D42EB" w:rsidRDefault="002D42EB" w:rsidP="00A965B2">
      <w:pPr>
        <w:spacing w:after="0" w:line="240" w:lineRule="auto"/>
      </w:pPr>
      <w:r>
        <w:separator/>
      </w:r>
    </w:p>
  </w:endnote>
  <w:endnote w:type="continuationSeparator" w:id="0">
    <w:p w14:paraId="3217AD10" w14:textId="77777777" w:rsidR="002D42EB" w:rsidRDefault="002D42EB" w:rsidP="00A9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507790205"/>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0294B17C" w14:textId="53F6C202" w:rsidR="00C85393" w:rsidRPr="00EB2783" w:rsidRDefault="00EB2783">
            <w:pPr>
              <w:pStyle w:val="Footer"/>
              <w:rPr>
                <w:rFonts w:ascii="Arial" w:hAnsi="Arial" w:cs="Arial"/>
                <w:sz w:val="20"/>
                <w:szCs w:val="20"/>
              </w:rPr>
            </w:pPr>
            <w:r w:rsidRPr="00372BC4">
              <w:rPr>
                <w:rFonts w:ascii="Arial" w:hAnsi="Arial" w:cs="Arial"/>
                <w:b/>
                <w:bCs/>
                <w:sz w:val="20"/>
                <w:szCs w:val="20"/>
                <w:lang w:val="vi-VN"/>
              </w:rPr>
              <w:t>M: </w:t>
            </w:r>
            <w:r w:rsidRPr="00372BC4">
              <w:rPr>
                <w:rFonts w:ascii="Arial" w:hAnsi="Arial" w:cs="Arial"/>
                <w:sz w:val="20"/>
                <w:szCs w:val="20"/>
                <w:lang w:val="vi-VN"/>
              </w:rPr>
              <w:t>(+84) 24 2269 3399</w:t>
            </w:r>
            <w:r w:rsidRPr="00372BC4">
              <w:rPr>
                <w:rFonts w:ascii="Arial" w:hAnsi="Arial" w:cs="Arial"/>
                <w:b/>
                <w:bCs/>
                <w:sz w:val="20"/>
                <w:szCs w:val="20"/>
                <w:lang w:val="vi-VN"/>
              </w:rPr>
              <w:t> | E</w:t>
            </w:r>
            <w:r w:rsidRPr="00372BC4">
              <w:rPr>
                <w:rFonts w:ascii="Arial" w:hAnsi="Arial" w:cs="Arial"/>
                <w:sz w:val="20"/>
                <w:szCs w:val="20"/>
                <w:lang w:val="vi-VN"/>
              </w:rPr>
              <w:t>: </w:t>
            </w:r>
            <w:hyperlink r:id="rId1" w:tgtFrame="_blank" w:history="1">
              <w:r w:rsidRPr="00372BC4">
                <w:rPr>
                  <w:rStyle w:val="Hyperlink"/>
                  <w:rFonts w:ascii="Arial" w:hAnsi="Arial" w:cs="Arial"/>
                  <w:sz w:val="20"/>
                  <w:szCs w:val="20"/>
                  <w:lang w:val="vi-VN"/>
                </w:rPr>
                <w:t>info@asialegal.vn</w:t>
              </w:r>
            </w:hyperlink>
            <w:r w:rsidRPr="00372BC4">
              <w:rPr>
                <w:rFonts w:ascii="Arial" w:hAnsi="Arial" w:cs="Arial"/>
                <w:b/>
                <w:bCs/>
                <w:sz w:val="20"/>
                <w:szCs w:val="20"/>
                <w:lang w:val="vi-VN"/>
              </w:rPr>
              <w:t> | W: </w:t>
            </w:r>
            <w:hyperlink r:id="rId2" w:tgtFrame="_blank" w:history="1">
              <w:r w:rsidRPr="00372BC4">
                <w:rPr>
                  <w:rStyle w:val="Hyperlink"/>
                  <w:rFonts w:ascii="Arial" w:hAnsi="Arial" w:cs="Arial"/>
                  <w:sz w:val="20"/>
                  <w:szCs w:val="20"/>
                  <w:lang w:val="vi-VN"/>
                </w:rPr>
                <w:t>www.asialegal.vn</w:t>
              </w:r>
            </w:hyperlink>
            <w:r w:rsidRPr="00372BC4">
              <w:rPr>
                <w:rFonts w:ascii="Arial" w:hAnsi="Arial" w:cs="Arial"/>
                <w:sz w:val="20"/>
                <w:szCs w:val="20"/>
              </w:rPr>
              <w:t xml:space="preserve">  </w:t>
            </w:r>
            <w:r>
              <w:rPr>
                <w:rFonts w:ascii="Arial" w:hAnsi="Arial" w:cs="Arial"/>
                <w:sz w:val="20"/>
                <w:szCs w:val="20"/>
              </w:rPr>
              <w:tab/>
            </w:r>
            <w:r w:rsidRPr="008B5A86">
              <w:rPr>
                <w:rFonts w:ascii="Arial" w:hAnsi="Arial" w:cs="Arial"/>
                <w:sz w:val="20"/>
                <w:szCs w:val="20"/>
              </w:rPr>
              <w:t xml:space="preserve">Page </w:t>
            </w:r>
            <w:r w:rsidRPr="008B5A86">
              <w:rPr>
                <w:rFonts w:ascii="Arial" w:hAnsi="Arial" w:cs="Arial"/>
                <w:b/>
                <w:bCs/>
                <w:sz w:val="20"/>
                <w:szCs w:val="20"/>
              </w:rPr>
              <w:fldChar w:fldCharType="begin"/>
            </w:r>
            <w:r w:rsidRPr="008B5A86">
              <w:rPr>
                <w:rFonts w:ascii="Arial" w:hAnsi="Arial" w:cs="Arial"/>
                <w:b/>
                <w:bCs/>
                <w:sz w:val="20"/>
                <w:szCs w:val="20"/>
              </w:rPr>
              <w:instrText xml:space="preserve"> PAGE </w:instrText>
            </w:r>
            <w:r w:rsidRPr="008B5A86">
              <w:rPr>
                <w:rFonts w:ascii="Arial" w:hAnsi="Arial" w:cs="Arial"/>
                <w:b/>
                <w:bCs/>
                <w:sz w:val="20"/>
                <w:szCs w:val="20"/>
              </w:rPr>
              <w:fldChar w:fldCharType="separate"/>
            </w:r>
            <w:r>
              <w:rPr>
                <w:rFonts w:ascii="Arial" w:hAnsi="Arial" w:cs="Arial"/>
                <w:b/>
                <w:bCs/>
                <w:sz w:val="20"/>
                <w:szCs w:val="20"/>
              </w:rPr>
              <w:t>1</w:t>
            </w:r>
            <w:r w:rsidRPr="008B5A86">
              <w:rPr>
                <w:rFonts w:ascii="Arial" w:hAnsi="Arial" w:cs="Arial"/>
                <w:b/>
                <w:bCs/>
                <w:sz w:val="20"/>
                <w:szCs w:val="20"/>
              </w:rPr>
              <w:fldChar w:fldCharType="end"/>
            </w:r>
            <w:r w:rsidRPr="008B5A86">
              <w:rPr>
                <w:rFonts w:ascii="Arial" w:hAnsi="Arial" w:cs="Arial"/>
                <w:sz w:val="20"/>
                <w:szCs w:val="20"/>
              </w:rPr>
              <w:t xml:space="preserve"> of </w:t>
            </w:r>
            <w:r w:rsidRPr="008B5A86">
              <w:rPr>
                <w:rFonts w:ascii="Arial" w:hAnsi="Arial" w:cs="Arial"/>
                <w:b/>
                <w:bCs/>
                <w:sz w:val="20"/>
                <w:szCs w:val="20"/>
              </w:rPr>
              <w:fldChar w:fldCharType="begin"/>
            </w:r>
            <w:r w:rsidRPr="008B5A86">
              <w:rPr>
                <w:rFonts w:ascii="Arial" w:hAnsi="Arial" w:cs="Arial"/>
                <w:b/>
                <w:bCs/>
                <w:sz w:val="20"/>
                <w:szCs w:val="20"/>
              </w:rPr>
              <w:instrText xml:space="preserve"> NUMPAGES  </w:instrText>
            </w:r>
            <w:r w:rsidRPr="008B5A86">
              <w:rPr>
                <w:rFonts w:ascii="Arial" w:hAnsi="Arial" w:cs="Arial"/>
                <w:b/>
                <w:bCs/>
                <w:sz w:val="20"/>
                <w:szCs w:val="20"/>
              </w:rPr>
              <w:fldChar w:fldCharType="separate"/>
            </w:r>
            <w:r>
              <w:rPr>
                <w:rFonts w:ascii="Arial" w:hAnsi="Arial" w:cs="Arial"/>
                <w:b/>
                <w:bCs/>
                <w:sz w:val="20"/>
                <w:szCs w:val="20"/>
              </w:rPr>
              <w:t>3</w:t>
            </w:r>
            <w:r w:rsidRPr="008B5A86">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08A42" w14:textId="77777777" w:rsidR="002D42EB" w:rsidRDefault="002D42EB" w:rsidP="00A965B2">
      <w:pPr>
        <w:spacing w:after="0" w:line="240" w:lineRule="auto"/>
      </w:pPr>
      <w:r>
        <w:separator/>
      </w:r>
    </w:p>
  </w:footnote>
  <w:footnote w:type="continuationSeparator" w:id="0">
    <w:p w14:paraId="01D67480" w14:textId="77777777" w:rsidR="002D42EB" w:rsidRDefault="002D42EB" w:rsidP="00A965B2">
      <w:pPr>
        <w:spacing w:after="0" w:line="240" w:lineRule="auto"/>
      </w:pPr>
      <w:r>
        <w:continuationSeparator/>
      </w:r>
    </w:p>
  </w:footnote>
  <w:footnote w:id="1">
    <w:p w14:paraId="5F00876C" w14:textId="35F01172" w:rsidR="00F24AE8" w:rsidRPr="00AD1C10" w:rsidRDefault="00F24AE8" w:rsidP="00F24AE8">
      <w:pPr>
        <w:pStyle w:val="FootnoteText"/>
        <w:rPr>
          <w:rFonts w:ascii="Arial" w:hAnsi="Arial" w:cs="Arial"/>
        </w:rPr>
      </w:pPr>
      <w:r w:rsidRPr="00AD1C10">
        <w:rPr>
          <w:rStyle w:val="FootnoteReference"/>
          <w:rFonts w:ascii="Arial" w:hAnsi="Arial" w:cs="Arial"/>
        </w:rPr>
        <w:footnoteRef/>
      </w:r>
      <w:r w:rsidRPr="00AD1C10">
        <w:rPr>
          <w:rFonts w:ascii="Arial" w:hAnsi="Arial" w:cs="Arial"/>
        </w:rPr>
        <w:t xml:space="preserve"> Article 3</w:t>
      </w:r>
      <w:r w:rsidR="00366821">
        <w:rPr>
          <w:rFonts w:ascii="Arial" w:hAnsi="Arial" w:cs="Arial"/>
        </w:rPr>
        <w:t>.1 of</w:t>
      </w:r>
      <w:r w:rsidRPr="00AD1C10">
        <w:rPr>
          <w:rFonts w:ascii="Arial" w:hAnsi="Arial" w:cs="Arial"/>
        </w:rPr>
        <w:t xml:space="preserve"> </w:t>
      </w:r>
      <w:r w:rsidR="007679F0">
        <w:rPr>
          <w:rFonts w:ascii="Arial" w:hAnsi="Arial" w:cs="Arial"/>
        </w:rPr>
        <w:t>LOI</w:t>
      </w:r>
      <w:r w:rsidRPr="00AD1C10">
        <w:rPr>
          <w:rFonts w:ascii="Arial" w:hAnsi="Arial" w:cs="Arial"/>
        </w:rPr>
        <w:t xml:space="preserve"> 2020</w:t>
      </w:r>
    </w:p>
  </w:footnote>
  <w:footnote w:id="2">
    <w:p w14:paraId="594B6CE8" w14:textId="3C74A5FE" w:rsidR="007F65FE" w:rsidRDefault="007F65FE">
      <w:pPr>
        <w:pStyle w:val="FootnoteText"/>
      </w:pPr>
      <w:r w:rsidRPr="00AD1C10">
        <w:rPr>
          <w:rStyle w:val="FootnoteReference"/>
          <w:rFonts w:ascii="Arial" w:hAnsi="Arial" w:cs="Arial"/>
        </w:rPr>
        <w:footnoteRef/>
      </w:r>
      <w:r w:rsidRPr="00AD1C10">
        <w:rPr>
          <w:rFonts w:ascii="Arial" w:hAnsi="Arial" w:cs="Arial"/>
        </w:rPr>
        <w:t xml:space="preserve"> Article 32 Law on Investment 2020 amended and supplemented in 2022</w:t>
      </w:r>
    </w:p>
  </w:footnote>
  <w:footnote w:id="3">
    <w:p w14:paraId="665AA769" w14:textId="32F3BCA5" w:rsidR="00A965B2" w:rsidRPr="00AD1C10" w:rsidRDefault="00A965B2" w:rsidP="00A965B2">
      <w:pPr>
        <w:pStyle w:val="FootnoteText"/>
        <w:rPr>
          <w:rFonts w:ascii="Arial" w:hAnsi="Arial" w:cs="Arial"/>
        </w:rPr>
      </w:pPr>
      <w:r w:rsidRPr="00AD1C10">
        <w:rPr>
          <w:rStyle w:val="FootnoteReference"/>
          <w:rFonts w:ascii="Arial" w:hAnsi="Arial" w:cs="Arial"/>
        </w:rPr>
        <w:footnoteRef/>
      </w:r>
      <w:r w:rsidRPr="00AD1C10">
        <w:rPr>
          <w:rFonts w:ascii="Arial" w:hAnsi="Arial" w:cs="Arial"/>
        </w:rPr>
        <w:t xml:space="preserve"> </w:t>
      </w:r>
      <w:r w:rsidR="007F65FE" w:rsidRPr="00AD1C10">
        <w:rPr>
          <w:rFonts w:ascii="Arial" w:hAnsi="Arial" w:cs="Arial"/>
        </w:rPr>
        <w:t>Clause</w:t>
      </w:r>
      <w:r w:rsidRPr="00AD1C10">
        <w:rPr>
          <w:rFonts w:ascii="Arial" w:hAnsi="Arial" w:cs="Arial"/>
        </w:rPr>
        <w:t xml:space="preserve"> 1 </w:t>
      </w:r>
      <w:r w:rsidR="007F65FE" w:rsidRPr="00AD1C10">
        <w:rPr>
          <w:rFonts w:ascii="Arial" w:hAnsi="Arial" w:cs="Arial"/>
        </w:rPr>
        <w:t>Article</w:t>
      </w:r>
      <w:r w:rsidRPr="00AD1C10">
        <w:rPr>
          <w:rFonts w:ascii="Arial" w:hAnsi="Arial" w:cs="Arial"/>
        </w:rPr>
        <w:t xml:space="preserve"> 33 </w:t>
      </w:r>
      <w:r w:rsidR="007F65FE" w:rsidRPr="00AD1C10">
        <w:rPr>
          <w:rFonts w:ascii="Arial" w:hAnsi="Arial" w:cs="Arial"/>
        </w:rPr>
        <w:t xml:space="preserve">Law on Investment </w:t>
      </w:r>
      <w:r w:rsidRPr="00AD1C10">
        <w:rPr>
          <w:rFonts w:ascii="Arial" w:hAnsi="Arial" w:cs="Arial"/>
        </w:rPr>
        <w:t>2020</w:t>
      </w:r>
    </w:p>
  </w:footnote>
  <w:footnote w:id="4">
    <w:p w14:paraId="3ED56540" w14:textId="1CACB6AB" w:rsidR="00A965B2" w:rsidRPr="00BE1021" w:rsidRDefault="00A965B2" w:rsidP="004C5ED2">
      <w:pPr>
        <w:pStyle w:val="FootnoteText"/>
        <w:rPr>
          <w:rFonts w:ascii="Arial" w:hAnsi="Arial" w:cs="Arial"/>
        </w:rPr>
      </w:pPr>
      <w:r w:rsidRPr="00AD1C10">
        <w:rPr>
          <w:rStyle w:val="FootnoteReference"/>
          <w:rFonts w:ascii="Arial" w:hAnsi="Arial" w:cs="Arial"/>
        </w:rPr>
        <w:footnoteRef/>
      </w:r>
      <w:r w:rsidRPr="00AD1C10">
        <w:rPr>
          <w:rFonts w:ascii="Arial" w:hAnsi="Arial" w:cs="Arial"/>
        </w:rPr>
        <w:t xml:space="preserve"> </w:t>
      </w:r>
      <w:r w:rsidR="004C5ED2" w:rsidRPr="00AD1C10">
        <w:rPr>
          <w:rFonts w:ascii="Arial" w:hAnsi="Arial" w:cs="Arial"/>
        </w:rPr>
        <w:t>Clause</w:t>
      </w:r>
      <w:r w:rsidRPr="00AD1C10">
        <w:rPr>
          <w:rFonts w:ascii="Arial" w:hAnsi="Arial" w:cs="Arial"/>
        </w:rPr>
        <w:t xml:space="preserve"> 5 </w:t>
      </w:r>
      <w:r w:rsidR="004C5ED2" w:rsidRPr="00AD1C10">
        <w:rPr>
          <w:rFonts w:ascii="Arial" w:hAnsi="Arial" w:cs="Arial"/>
        </w:rPr>
        <w:t>Article 31 Decree</w:t>
      </w:r>
      <w:r w:rsidRPr="00AD1C10">
        <w:rPr>
          <w:rFonts w:ascii="Arial" w:hAnsi="Arial" w:cs="Arial"/>
        </w:rPr>
        <w:t xml:space="preserve"> </w:t>
      </w:r>
      <w:r w:rsidR="004C5ED2" w:rsidRPr="00AD1C10">
        <w:rPr>
          <w:rFonts w:ascii="Arial" w:hAnsi="Arial" w:cs="Arial"/>
        </w:rPr>
        <w:t>31/2021/ND-CP</w:t>
      </w:r>
      <w:r w:rsidRPr="00AD1C10">
        <w:rPr>
          <w:rFonts w:ascii="Arial" w:hAnsi="Arial" w:cs="Arial"/>
        </w:rPr>
        <w:t xml:space="preserve"> </w:t>
      </w:r>
      <w:r w:rsidR="004C5ED2" w:rsidRPr="00AD1C10">
        <w:rPr>
          <w:rFonts w:ascii="Arial" w:hAnsi="Arial" w:cs="Arial"/>
        </w:rPr>
        <w:t>Detailing and guiding the implementation of a number of articles of the</w:t>
      </w:r>
      <w:r w:rsidRPr="00AD1C10">
        <w:rPr>
          <w:rFonts w:ascii="Arial" w:hAnsi="Arial" w:cs="Arial"/>
        </w:rPr>
        <w:t xml:space="preserve"> </w:t>
      </w:r>
      <w:r w:rsidR="004C5ED2" w:rsidRPr="00AD1C10">
        <w:rPr>
          <w:rFonts w:ascii="Arial" w:hAnsi="Arial" w:cs="Arial"/>
        </w:rPr>
        <w:t>Law on Investment</w:t>
      </w:r>
    </w:p>
  </w:footnote>
  <w:footnote w:id="5">
    <w:p w14:paraId="1B9A16A1" w14:textId="60FFC3A2" w:rsidR="00A965B2" w:rsidRDefault="00A965B2" w:rsidP="00A965B2">
      <w:pPr>
        <w:pStyle w:val="FootnoteText"/>
      </w:pPr>
      <w:r w:rsidRPr="00BE1021">
        <w:rPr>
          <w:rStyle w:val="FootnoteReference"/>
          <w:rFonts w:ascii="Arial" w:hAnsi="Arial" w:cs="Arial"/>
        </w:rPr>
        <w:footnoteRef/>
      </w:r>
      <w:r w:rsidRPr="00BE1021">
        <w:rPr>
          <w:rFonts w:ascii="Arial" w:hAnsi="Arial" w:cs="Arial"/>
        </w:rPr>
        <w:t xml:space="preserve"> </w:t>
      </w:r>
      <w:r w:rsidR="004C5ED2" w:rsidRPr="00BE1021">
        <w:rPr>
          <w:rFonts w:ascii="Arial" w:hAnsi="Arial" w:cs="Arial"/>
        </w:rPr>
        <w:t>Article</w:t>
      </w:r>
      <w:r w:rsidRPr="00BE1021">
        <w:rPr>
          <w:rFonts w:ascii="Arial" w:hAnsi="Arial" w:cs="Arial"/>
        </w:rPr>
        <w:t xml:space="preserve"> 36 </w:t>
      </w:r>
      <w:r w:rsidR="004C5ED2" w:rsidRPr="00BE1021">
        <w:rPr>
          <w:rFonts w:ascii="Arial" w:hAnsi="Arial" w:cs="Arial"/>
        </w:rPr>
        <w:t xml:space="preserve">Law on Investment </w:t>
      </w:r>
      <w:r w:rsidRPr="00BE1021">
        <w:rPr>
          <w:rFonts w:ascii="Arial" w:hAnsi="Arial" w:cs="Arial"/>
        </w:rPr>
        <w:t>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8C47" w14:textId="297908AE" w:rsidR="00C85393" w:rsidRDefault="00C85393">
    <w:pPr>
      <w:pStyle w:val="Header"/>
    </w:pPr>
    <w:r>
      <w:rPr>
        <w:noProof/>
      </w:rPr>
      <w:pict w14:anchorId="234EB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7623157" o:spid="_x0000_s2050" type="#_x0000_t75" style="position:absolute;margin-left:0;margin-top:0;width:450pt;height:642.9pt;z-index:-251655168;mso-position-horizontal:center;mso-position-horizontal-relative:margin;mso-position-vertical:center;mso-position-vertical-relative:margin" o:allowincell="f">
          <v:imagedata r:id="rId1" o:title="AL_logo_watermark (1)"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E057C" w14:textId="1E8EA0A8" w:rsidR="002410AB" w:rsidRPr="002410AB" w:rsidRDefault="00C85393" w:rsidP="002410AB">
    <w:pPr>
      <w:pStyle w:val="Header"/>
      <w:jc w:val="right"/>
      <w:rPr>
        <w:color w:val="004680"/>
      </w:rPr>
    </w:pPr>
    <w:r>
      <w:rPr>
        <w:rFonts w:ascii="Arial" w:hAnsi="Arial" w:cs="Arial"/>
        <w:b/>
        <w:noProof/>
        <w:color w:val="004680"/>
      </w:rPr>
      <w:pict w14:anchorId="60B610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7623158" o:spid="_x0000_s2051" type="#_x0000_t75" style="position:absolute;left:0;text-align:left;margin-left:0;margin-top:0;width:450pt;height:642.9pt;z-index:-251654144;mso-position-horizontal:center;mso-position-horizontal-relative:margin;mso-position-vertical:center;mso-position-vertical-relative:margin" o:allowincell="f">
          <v:imagedata r:id="rId1" o:title="AL_logo_watermark (1)" gain="19661f" blacklevel="22938f"/>
        </v:shape>
      </w:pict>
    </w:r>
    <w:r w:rsidR="002410AB" w:rsidRPr="002410AB">
      <w:rPr>
        <w:rFonts w:ascii="Arial" w:hAnsi="Arial" w:cs="Arial"/>
        <w:b/>
        <w:color w:val="004680"/>
      </w:rPr>
      <w:t>RECENT REFORMS AND UPDATES ON PROVINCIAL INVESTMENT POLICY APPROVAL</w:t>
    </w:r>
    <w:r w:rsidR="002410AB" w:rsidRPr="002410AB">
      <w:rPr>
        <w:rFonts w:ascii="Arial" w:hAnsi="Arial" w:cs="Arial"/>
        <w:b/>
        <w:bCs/>
        <w:noProof/>
        <w:color w:val="004680"/>
      </w:rPr>
      <w:t xml:space="preserve"> </w:t>
    </w:r>
    <w:r w:rsidR="002410AB" w:rsidRPr="002410AB">
      <w:rPr>
        <w:rFonts w:ascii="Arial" w:hAnsi="Arial" w:cs="Arial"/>
        <w:b/>
        <w:bCs/>
        <w:noProof/>
        <w:color w:val="004680"/>
      </w:rPr>
      <w:drawing>
        <wp:anchor distT="0" distB="0" distL="114300" distR="114300" simplePos="0" relativeHeight="251659264" behindDoc="1" locked="0" layoutInCell="1" allowOverlap="1" wp14:anchorId="749E9E4E" wp14:editId="15B7C916">
          <wp:simplePos x="0" y="0"/>
          <wp:positionH relativeFrom="margin">
            <wp:align>left</wp:align>
          </wp:positionH>
          <wp:positionV relativeFrom="paragraph">
            <wp:posOffset>-118828</wp:posOffset>
          </wp:positionV>
          <wp:extent cx="2207895" cy="457200"/>
          <wp:effectExtent l="0" t="0" r="1905" b="0"/>
          <wp:wrapTight wrapText="bothSides">
            <wp:wrapPolygon edited="0">
              <wp:start x="14350" y="0"/>
              <wp:lineTo x="0" y="0"/>
              <wp:lineTo x="0" y="14400"/>
              <wp:lineTo x="1864" y="16200"/>
              <wp:lineTo x="1864" y="20700"/>
              <wp:lineTo x="19569" y="20700"/>
              <wp:lineTo x="19755" y="18000"/>
              <wp:lineTo x="21432" y="14400"/>
              <wp:lineTo x="21432" y="900"/>
              <wp:lineTo x="15469" y="0"/>
              <wp:lineTo x="14350" y="0"/>
            </wp:wrapPolygon>
          </wp:wrapTight>
          <wp:docPr id="4" name="Picture 4"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165825" name="Picture 2" descr="A blue and black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7895" cy="4572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D287" w14:textId="0C0B99D0" w:rsidR="00C85393" w:rsidRDefault="00C85393">
    <w:pPr>
      <w:pStyle w:val="Header"/>
    </w:pPr>
    <w:r>
      <w:rPr>
        <w:noProof/>
      </w:rPr>
      <w:pict w14:anchorId="34187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7623156" o:spid="_x0000_s2049" type="#_x0000_t75" style="position:absolute;margin-left:0;margin-top:0;width:450pt;height:642.9pt;z-index:-251656192;mso-position-horizontal:center;mso-position-horizontal-relative:margin;mso-position-vertical:center;mso-position-vertical-relative:margin" o:allowincell="f">
          <v:imagedata r:id="rId1" o:title="AL_logo_watermark (1)"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3373"/>
    <w:multiLevelType w:val="hybridMultilevel"/>
    <w:tmpl w:val="AB1A7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02F69"/>
    <w:multiLevelType w:val="hybridMultilevel"/>
    <w:tmpl w:val="72BAC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CD73F"/>
    <w:multiLevelType w:val="singleLevel"/>
    <w:tmpl w:val="21FCD73F"/>
    <w:lvl w:ilvl="0">
      <w:start w:val="1"/>
      <w:numFmt w:val="bullet"/>
      <w:lvlText w:val=""/>
      <w:lvlJc w:val="left"/>
      <w:pPr>
        <w:tabs>
          <w:tab w:val="num" w:pos="-300"/>
        </w:tabs>
        <w:ind w:left="-300" w:hanging="420"/>
      </w:pPr>
      <w:rPr>
        <w:rFonts w:ascii="Wingdings" w:hAnsi="Wingdings" w:hint="default"/>
      </w:rPr>
    </w:lvl>
  </w:abstractNum>
  <w:abstractNum w:abstractNumId="3" w15:restartNumberingAfterBreak="0">
    <w:nsid w:val="2AE678FB"/>
    <w:multiLevelType w:val="hybridMultilevel"/>
    <w:tmpl w:val="ABC66E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1069A"/>
    <w:multiLevelType w:val="multilevel"/>
    <w:tmpl w:val="FE74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47315B"/>
    <w:multiLevelType w:val="hybridMultilevel"/>
    <w:tmpl w:val="B034610C"/>
    <w:lvl w:ilvl="0" w:tplc="663C8812">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5136D"/>
    <w:multiLevelType w:val="hybridMultilevel"/>
    <w:tmpl w:val="C498927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2BDA47"/>
    <w:multiLevelType w:val="singleLevel"/>
    <w:tmpl w:val="3C2BDA47"/>
    <w:lvl w:ilvl="0">
      <w:start w:val="1"/>
      <w:numFmt w:val="decimal"/>
      <w:lvlText w:val="%1."/>
      <w:lvlJc w:val="left"/>
      <w:pPr>
        <w:tabs>
          <w:tab w:val="num" w:pos="425"/>
        </w:tabs>
        <w:ind w:left="425" w:hanging="425"/>
      </w:pPr>
      <w:rPr>
        <w:rFonts w:hint="default"/>
      </w:rPr>
    </w:lvl>
  </w:abstractNum>
  <w:abstractNum w:abstractNumId="8" w15:restartNumberingAfterBreak="0">
    <w:nsid w:val="40E3743B"/>
    <w:multiLevelType w:val="hybridMultilevel"/>
    <w:tmpl w:val="82E86C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5F0F53"/>
    <w:multiLevelType w:val="hybridMultilevel"/>
    <w:tmpl w:val="3B22F9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4F7E2C"/>
    <w:multiLevelType w:val="hybridMultilevel"/>
    <w:tmpl w:val="89A26B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B4011D"/>
    <w:multiLevelType w:val="hybridMultilevel"/>
    <w:tmpl w:val="1F1CCF38"/>
    <w:lvl w:ilvl="0" w:tplc="D9485B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72A211C"/>
    <w:multiLevelType w:val="hybridMultilevel"/>
    <w:tmpl w:val="D968FF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C53379"/>
    <w:multiLevelType w:val="hybridMultilevel"/>
    <w:tmpl w:val="AA5AEDFC"/>
    <w:lvl w:ilvl="0" w:tplc="75060792">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19685E"/>
    <w:multiLevelType w:val="hybridMultilevel"/>
    <w:tmpl w:val="13A293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490C06"/>
    <w:multiLevelType w:val="hybridMultilevel"/>
    <w:tmpl w:val="F0AED5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E23332"/>
    <w:multiLevelType w:val="hybridMultilevel"/>
    <w:tmpl w:val="11DA2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EC2CD0"/>
    <w:multiLevelType w:val="hybridMultilevel"/>
    <w:tmpl w:val="CEBCACCE"/>
    <w:lvl w:ilvl="0" w:tplc="E31E9B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3842434">
    <w:abstractNumId w:val="7"/>
  </w:num>
  <w:num w:numId="2" w16cid:durableId="1025788816">
    <w:abstractNumId w:val="2"/>
  </w:num>
  <w:num w:numId="3" w16cid:durableId="68580120">
    <w:abstractNumId w:val="12"/>
  </w:num>
  <w:num w:numId="4" w16cid:durableId="1416051095">
    <w:abstractNumId w:val="14"/>
  </w:num>
  <w:num w:numId="5" w16cid:durableId="606238433">
    <w:abstractNumId w:val="6"/>
  </w:num>
  <w:num w:numId="6" w16cid:durableId="126824622">
    <w:abstractNumId w:val="10"/>
  </w:num>
  <w:num w:numId="7" w16cid:durableId="2034108037">
    <w:abstractNumId w:val="3"/>
  </w:num>
  <w:num w:numId="8" w16cid:durableId="1467241031">
    <w:abstractNumId w:val="17"/>
  </w:num>
  <w:num w:numId="9" w16cid:durableId="99570215">
    <w:abstractNumId w:val="8"/>
  </w:num>
  <w:num w:numId="10" w16cid:durableId="2049992337">
    <w:abstractNumId w:val="16"/>
  </w:num>
  <w:num w:numId="11" w16cid:durableId="1112822500">
    <w:abstractNumId w:val="9"/>
  </w:num>
  <w:num w:numId="12" w16cid:durableId="869757854">
    <w:abstractNumId w:val="15"/>
  </w:num>
  <w:num w:numId="13" w16cid:durableId="1781410465">
    <w:abstractNumId w:val="11"/>
  </w:num>
  <w:num w:numId="14" w16cid:durableId="972440267">
    <w:abstractNumId w:val="0"/>
  </w:num>
  <w:num w:numId="15" w16cid:durableId="75786098">
    <w:abstractNumId w:val="13"/>
  </w:num>
  <w:num w:numId="16" w16cid:durableId="220406024">
    <w:abstractNumId w:val="5"/>
  </w:num>
  <w:num w:numId="17" w16cid:durableId="1570532029">
    <w:abstractNumId w:val="1"/>
  </w:num>
  <w:num w:numId="18" w16cid:durableId="46608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E9C"/>
    <w:rsid w:val="0002106A"/>
    <w:rsid w:val="00024669"/>
    <w:rsid w:val="000540F6"/>
    <w:rsid w:val="00077799"/>
    <w:rsid w:val="000A3DEA"/>
    <w:rsid w:val="000B3C3F"/>
    <w:rsid w:val="000D5FB1"/>
    <w:rsid w:val="000E2A0C"/>
    <w:rsid w:val="00134CF5"/>
    <w:rsid w:val="001D2F73"/>
    <w:rsid w:val="001D5051"/>
    <w:rsid w:val="001D7F6B"/>
    <w:rsid w:val="002410AB"/>
    <w:rsid w:val="002453DD"/>
    <w:rsid w:val="00256EF3"/>
    <w:rsid w:val="00270471"/>
    <w:rsid w:val="002C6E9C"/>
    <w:rsid w:val="002D42EB"/>
    <w:rsid w:val="002D56E1"/>
    <w:rsid w:val="002F01EC"/>
    <w:rsid w:val="00302E3F"/>
    <w:rsid w:val="00346C15"/>
    <w:rsid w:val="00366821"/>
    <w:rsid w:val="003900A7"/>
    <w:rsid w:val="00404263"/>
    <w:rsid w:val="0041331B"/>
    <w:rsid w:val="00442A87"/>
    <w:rsid w:val="00465906"/>
    <w:rsid w:val="00487AD0"/>
    <w:rsid w:val="004B0343"/>
    <w:rsid w:val="004C5ED2"/>
    <w:rsid w:val="005077F6"/>
    <w:rsid w:val="00524398"/>
    <w:rsid w:val="00555C94"/>
    <w:rsid w:val="00562E4E"/>
    <w:rsid w:val="00590A3C"/>
    <w:rsid w:val="005C7E69"/>
    <w:rsid w:val="006307C5"/>
    <w:rsid w:val="00640C91"/>
    <w:rsid w:val="006446BE"/>
    <w:rsid w:val="006840DD"/>
    <w:rsid w:val="006A7F24"/>
    <w:rsid w:val="007173C6"/>
    <w:rsid w:val="00754389"/>
    <w:rsid w:val="007679F0"/>
    <w:rsid w:val="00771FBF"/>
    <w:rsid w:val="007D4C7F"/>
    <w:rsid w:val="007E2C2F"/>
    <w:rsid w:val="007F65FE"/>
    <w:rsid w:val="008051EA"/>
    <w:rsid w:val="00827F54"/>
    <w:rsid w:val="0086427B"/>
    <w:rsid w:val="00867AF3"/>
    <w:rsid w:val="00895D78"/>
    <w:rsid w:val="008A3403"/>
    <w:rsid w:val="008C5029"/>
    <w:rsid w:val="008D68C6"/>
    <w:rsid w:val="0091458B"/>
    <w:rsid w:val="009171A8"/>
    <w:rsid w:val="00921039"/>
    <w:rsid w:val="0095109B"/>
    <w:rsid w:val="00970A83"/>
    <w:rsid w:val="009A7DFD"/>
    <w:rsid w:val="009B46E3"/>
    <w:rsid w:val="009C1BB2"/>
    <w:rsid w:val="009E2E1E"/>
    <w:rsid w:val="00A00724"/>
    <w:rsid w:val="00A00C49"/>
    <w:rsid w:val="00A572D9"/>
    <w:rsid w:val="00A65E6A"/>
    <w:rsid w:val="00A965B2"/>
    <w:rsid w:val="00A97D95"/>
    <w:rsid w:val="00AC1F03"/>
    <w:rsid w:val="00AC7819"/>
    <w:rsid w:val="00AD1C10"/>
    <w:rsid w:val="00B329BA"/>
    <w:rsid w:val="00B8123E"/>
    <w:rsid w:val="00BE1021"/>
    <w:rsid w:val="00C04325"/>
    <w:rsid w:val="00C34CAA"/>
    <w:rsid w:val="00C46816"/>
    <w:rsid w:val="00C50EC6"/>
    <w:rsid w:val="00C61F25"/>
    <w:rsid w:val="00C637DD"/>
    <w:rsid w:val="00C85393"/>
    <w:rsid w:val="00C94CE3"/>
    <w:rsid w:val="00D64A32"/>
    <w:rsid w:val="00DD7461"/>
    <w:rsid w:val="00DF26B2"/>
    <w:rsid w:val="00DF2ABC"/>
    <w:rsid w:val="00E34E3C"/>
    <w:rsid w:val="00E52586"/>
    <w:rsid w:val="00E71D3F"/>
    <w:rsid w:val="00E821AA"/>
    <w:rsid w:val="00EA4F80"/>
    <w:rsid w:val="00EB2783"/>
    <w:rsid w:val="00F00CC6"/>
    <w:rsid w:val="00F24AE8"/>
    <w:rsid w:val="00F40B13"/>
    <w:rsid w:val="00F571A5"/>
    <w:rsid w:val="00F6517D"/>
    <w:rsid w:val="00FA7B35"/>
    <w:rsid w:val="00FE0CCD"/>
    <w:rsid w:val="00FF06AF"/>
    <w:rsid w:val="00FF4FDA"/>
    <w:rsid w:val="55E56AC7"/>
    <w:rsid w:val="58F96FCF"/>
    <w:rsid w:val="67DB7AD5"/>
    <w:rsid w:val="692C0E9E"/>
    <w:rsid w:val="7542157E"/>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236B95"/>
  <w15:chartTrackingRefBased/>
  <w15:docId w15:val="{D8A8235C-3CDF-4D63-A523-5163B7EF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5B2"/>
    <w:pPr>
      <w:spacing w:after="160" w:line="259"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ingerror">
    <w:name w:val="spellingerror"/>
    <w:basedOn w:val="DefaultParagraphFont"/>
  </w:style>
  <w:style w:type="character" w:customStyle="1" w:styleId="normaltextrun">
    <w:name w:val="normaltextrun"/>
    <w:basedOn w:val="DefaultParagraphFont"/>
  </w:style>
  <w:style w:type="character" w:customStyle="1" w:styleId="eop">
    <w:name w:val="eop"/>
    <w:basedOn w:val="DefaultParagraphFont"/>
  </w:style>
  <w:style w:type="character" w:styleId="Strong">
    <w:name w:val="Strong"/>
    <w:uiPriority w:val="22"/>
    <w:qFormat/>
    <w:rPr>
      <w:b/>
      <w:bCs/>
    </w:rPr>
  </w:style>
  <w:style w:type="paragraph" w:styleId="NormalWeb">
    <w:name w:val="Normal (Web)"/>
    <w:uiPriority w:val="99"/>
    <w:unhideWhenUsed/>
    <w:pPr>
      <w:spacing w:before="100" w:beforeAutospacing="1" w:after="100" w:afterAutospacing="1"/>
    </w:pPr>
    <w:rPr>
      <w:sz w:val="24"/>
      <w:szCs w:val="24"/>
      <w:lang w:val="en-US" w:eastAsia="zh-CN"/>
    </w:rPr>
  </w:style>
  <w:style w:type="paragraph" w:customStyle="1" w:styleId="paragraph">
    <w:name w:val="paragraph"/>
    <w:basedOn w:val="Normal"/>
    <w:rsid w:val="00524398"/>
    <w:pPr>
      <w:spacing w:before="100" w:beforeAutospacing="1" w:after="100" w:afterAutospacing="1" w:line="240" w:lineRule="auto"/>
    </w:pPr>
    <w:rPr>
      <w:rFonts w:eastAsia="Times New Roman"/>
      <w:sz w:val="24"/>
      <w:szCs w:val="24"/>
    </w:rPr>
  </w:style>
  <w:style w:type="paragraph" w:styleId="Revision">
    <w:name w:val="Revision"/>
    <w:hidden/>
    <w:uiPriority w:val="99"/>
    <w:unhideWhenUsed/>
    <w:rsid w:val="009171A8"/>
    <w:rPr>
      <w:sz w:val="22"/>
      <w:szCs w:val="22"/>
      <w:lang w:val="en-US" w:eastAsia="en-US"/>
    </w:rPr>
  </w:style>
  <w:style w:type="paragraph" w:styleId="FootnoteText">
    <w:name w:val="footnote text"/>
    <w:basedOn w:val="Normal"/>
    <w:link w:val="FootnoteTextChar"/>
    <w:uiPriority w:val="99"/>
    <w:semiHidden/>
    <w:unhideWhenUsed/>
    <w:rsid w:val="00A965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5B2"/>
    <w:rPr>
      <w:lang w:val="en-US" w:eastAsia="en-US"/>
    </w:rPr>
  </w:style>
  <w:style w:type="character" w:styleId="FootnoteReference">
    <w:name w:val="footnote reference"/>
    <w:basedOn w:val="DefaultParagraphFont"/>
    <w:uiPriority w:val="99"/>
    <w:semiHidden/>
    <w:unhideWhenUsed/>
    <w:rsid w:val="00A965B2"/>
    <w:rPr>
      <w:vertAlign w:val="superscript"/>
    </w:rPr>
  </w:style>
  <w:style w:type="paragraph" w:styleId="ListParagraph">
    <w:name w:val="List Paragraph"/>
    <w:basedOn w:val="Normal"/>
    <w:uiPriority w:val="99"/>
    <w:qFormat/>
    <w:rsid w:val="00A965B2"/>
    <w:pPr>
      <w:ind w:left="720"/>
      <w:contextualSpacing/>
    </w:pPr>
  </w:style>
  <w:style w:type="paragraph" w:styleId="Header">
    <w:name w:val="header"/>
    <w:basedOn w:val="Normal"/>
    <w:link w:val="HeaderChar"/>
    <w:uiPriority w:val="99"/>
    <w:unhideWhenUsed/>
    <w:rsid w:val="00241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0AB"/>
    <w:rPr>
      <w:sz w:val="22"/>
      <w:szCs w:val="22"/>
      <w:lang w:val="en-US" w:eastAsia="en-US"/>
    </w:rPr>
  </w:style>
  <w:style w:type="paragraph" w:styleId="Footer">
    <w:name w:val="footer"/>
    <w:basedOn w:val="Normal"/>
    <w:link w:val="FooterChar"/>
    <w:uiPriority w:val="99"/>
    <w:unhideWhenUsed/>
    <w:rsid w:val="00241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0AB"/>
    <w:rPr>
      <w:sz w:val="22"/>
      <w:szCs w:val="22"/>
      <w:lang w:val="en-US" w:eastAsia="en-US"/>
    </w:rPr>
  </w:style>
  <w:style w:type="character" w:styleId="Hyperlink">
    <w:name w:val="Hyperlink"/>
    <w:basedOn w:val="DefaultParagraphFont"/>
    <w:uiPriority w:val="99"/>
    <w:unhideWhenUsed/>
    <w:rsid w:val="00EB27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5233">
      <w:bodyDiv w:val="1"/>
      <w:marLeft w:val="0"/>
      <w:marRight w:val="0"/>
      <w:marTop w:val="0"/>
      <w:marBottom w:val="0"/>
      <w:divBdr>
        <w:top w:val="none" w:sz="0" w:space="0" w:color="auto"/>
        <w:left w:val="none" w:sz="0" w:space="0" w:color="auto"/>
        <w:bottom w:val="none" w:sz="0" w:space="0" w:color="auto"/>
        <w:right w:val="none" w:sz="0" w:space="0" w:color="auto"/>
      </w:divBdr>
    </w:div>
    <w:div w:id="272633026">
      <w:bodyDiv w:val="1"/>
      <w:marLeft w:val="0"/>
      <w:marRight w:val="0"/>
      <w:marTop w:val="0"/>
      <w:marBottom w:val="0"/>
      <w:divBdr>
        <w:top w:val="none" w:sz="0" w:space="0" w:color="auto"/>
        <w:left w:val="none" w:sz="0" w:space="0" w:color="auto"/>
        <w:bottom w:val="none" w:sz="0" w:space="0" w:color="auto"/>
        <w:right w:val="none" w:sz="0" w:space="0" w:color="auto"/>
      </w:divBdr>
    </w:div>
    <w:div w:id="484668219">
      <w:bodyDiv w:val="1"/>
      <w:marLeft w:val="0"/>
      <w:marRight w:val="0"/>
      <w:marTop w:val="0"/>
      <w:marBottom w:val="0"/>
      <w:divBdr>
        <w:top w:val="none" w:sz="0" w:space="0" w:color="auto"/>
        <w:left w:val="none" w:sz="0" w:space="0" w:color="auto"/>
        <w:bottom w:val="none" w:sz="0" w:space="0" w:color="auto"/>
        <w:right w:val="none" w:sz="0" w:space="0" w:color="auto"/>
      </w:divBdr>
    </w:div>
    <w:div w:id="495338303">
      <w:bodyDiv w:val="1"/>
      <w:marLeft w:val="0"/>
      <w:marRight w:val="0"/>
      <w:marTop w:val="0"/>
      <w:marBottom w:val="0"/>
      <w:divBdr>
        <w:top w:val="none" w:sz="0" w:space="0" w:color="auto"/>
        <w:left w:val="none" w:sz="0" w:space="0" w:color="auto"/>
        <w:bottom w:val="none" w:sz="0" w:space="0" w:color="auto"/>
        <w:right w:val="none" w:sz="0" w:space="0" w:color="auto"/>
      </w:divBdr>
    </w:div>
    <w:div w:id="661392812">
      <w:bodyDiv w:val="1"/>
      <w:marLeft w:val="0"/>
      <w:marRight w:val="0"/>
      <w:marTop w:val="0"/>
      <w:marBottom w:val="0"/>
      <w:divBdr>
        <w:top w:val="none" w:sz="0" w:space="0" w:color="auto"/>
        <w:left w:val="none" w:sz="0" w:space="0" w:color="auto"/>
        <w:bottom w:val="none" w:sz="0" w:space="0" w:color="auto"/>
        <w:right w:val="none" w:sz="0" w:space="0" w:color="auto"/>
      </w:divBdr>
    </w:div>
    <w:div w:id="896478544">
      <w:bodyDiv w:val="1"/>
      <w:marLeft w:val="0"/>
      <w:marRight w:val="0"/>
      <w:marTop w:val="0"/>
      <w:marBottom w:val="0"/>
      <w:divBdr>
        <w:top w:val="none" w:sz="0" w:space="0" w:color="auto"/>
        <w:left w:val="none" w:sz="0" w:space="0" w:color="auto"/>
        <w:bottom w:val="none" w:sz="0" w:space="0" w:color="auto"/>
        <w:right w:val="none" w:sz="0" w:space="0" w:color="auto"/>
      </w:divBdr>
    </w:div>
    <w:div w:id="1059019324">
      <w:bodyDiv w:val="1"/>
      <w:marLeft w:val="0"/>
      <w:marRight w:val="0"/>
      <w:marTop w:val="0"/>
      <w:marBottom w:val="0"/>
      <w:divBdr>
        <w:top w:val="none" w:sz="0" w:space="0" w:color="auto"/>
        <w:left w:val="none" w:sz="0" w:space="0" w:color="auto"/>
        <w:bottom w:val="none" w:sz="0" w:space="0" w:color="auto"/>
        <w:right w:val="none" w:sz="0" w:space="0" w:color="auto"/>
      </w:divBdr>
    </w:div>
    <w:div w:id="1284996044">
      <w:bodyDiv w:val="1"/>
      <w:marLeft w:val="0"/>
      <w:marRight w:val="0"/>
      <w:marTop w:val="0"/>
      <w:marBottom w:val="0"/>
      <w:divBdr>
        <w:top w:val="none" w:sz="0" w:space="0" w:color="auto"/>
        <w:left w:val="none" w:sz="0" w:space="0" w:color="auto"/>
        <w:bottom w:val="none" w:sz="0" w:space="0" w:color="auto"/>
        <w:right w:val="none" w:sz="0" w:space="0" w:color="auto"/>
      </w:divBdr>
    </w:div>
    <w:div w:id="1484656985">
      <w:bodyDiv w:val="1"/>
      <w:marLeft w:val="0"/>
      <w:marRight w:val="0"/>
      <w:marTop w:val="0"/>
      <w:marBottom w:val="0"/>
      <w:divBdr>
        <w:top w:val="none" w:sz="0" w:space="0" w:color="auto"/>
        <w:left w:val="none" w:sz="0" w:space="0" w:color="auto"/>
        <w:bottom w:val="none" w:sz="0" w:space="0" w:color="auto"/>
        <w:right w:val="none" w:sz="0" w:space="0" w:color="auto"/>
      </w:divBdr>
    </w:div>
    <w:div w:id="1634095244">
      <w:bodyDiv w:val="1"/>
      <w:marLeft w:val="0"/>
      <w:marRight w:val="0"/>
      <w:marTop w:val="0"/>
      <w:marBottom w:val="0"/>
      <w:divBdr>
        <w:top w:val="none" w:sz="0" w:space="0" w:color="auto"/>
        <w:left w:val="none" w:sz="0" w:space="0" w:color="auto"/>
        <w:bottom w:val="none" w:sz="0" w:space="0" w:color="auto"/>
        <w:right w:val="none" w:sz="0" w:space="0" w:color="auto"/>
      </w:divBdr>
    </w:div>
    <w:div w:id="179051416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nfo@asialegal.v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sialegal.vn/" TargetMode="External"/><Relationship Id="rId1" Type="http://schemas.openxmlformats.org/officeDocument/2006/relationships/hyperlink" Target="mailto:info@asialegal.v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677D5-D528-43E4-B1F6-9A7764935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Pages>
  <Words>1488</Words>
  <Characters>8484</Characters>
  <Application>Microsoft Office Word</Application>
  <DocSecurity>0</DocSecurity>
  <Lines>70</Lines>
  <Paragraphs>19</Paragraphs>
  <ScaleCrop>false</ScaleCrop>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Legal</dc:creator>
  <cp:keywords/>
  <dc:description/>
  <cp:lastModifiedBy>Asia Legal</cp:lastModifiedBy>
  <cp:revision>111</cp:revision>
  <dcterms:created xsi:type="dcterms:W3CDTF">2023-02-22T02:39:00Z</dcterms:created>
  <dcterms:modified xsi:type="dcterms:W3CDTF">2025-07-29T04:17:00Z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1033-11.2.0.9710</vt:lpwstr>
  </property>
</Properties>
</file>